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B96" w:rsidRDefault="00D50B96" w:rsidP="00D50B9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50B96" w:rsidRDefault="00D50B96">
      <w:pPr>
        <w:pStyle w:val="ConsPlusTitle"/>
        <w:jc w:val="center"/>
        <w:outlineLvl w:val="0"/>
      </w:pPr>
      <w:r>
        <w:t>АДМИНИСТРАЦИЯ ГОРОДА ОРЛА</w:t>
      </w:r>
    </w:p>
    <w:p w:rsidR="00D50B96" w:rsidRDefault="00D50B96">
      <w:pPr>
        <w:pStyle w:val="ConsPlusTitle"/>
        <w:jc w:val="center"/>
      </w:pPr>
    </w:p>
    <w:p w:rsidR="00D50B96" w:rsidRDefault="00D50B96">
      <w:pPr>
        <w:pStyle w:val="ConsPlusTitle"/>
        <w:jc w:val="center"/>
      </w:pPr>
      <w:r>
        <w:t>ПОСТАНОВЛЕНИЕ</w:t>
      </w:r>
    </w:p>
    <w:p w:rsidR="00D50B96" w:rsidRDefault="00D50B96">
      <w:pPr>
        <w:pStyle w:val="ConsPlusTitle"/>
        <w:jc w:val="center"/>
      </w:pPr>
      <w:r>
        <w:t>от 8 июля 2022 г. N 3847</w:t>
      </w:r>
    </w:p>
    <w:p w:rsidR="00D50B96" w:rsidRDefault="00D50B96">
      <w:pPr>
        <w:pStyle w:val="ConsPlusTitle"/>
        <w:jc w:val="center"/>
      </w:pPr>
    </w:p>
    <w:p w:rsidR="00D50B96" w:rsidRDefault="00D50B96">
      <w:pPr>
        <w:pStyle w:val="ConsPlusTitle"/>
        <w:jc w:val="center"/>
      </w:pPr>
      <w:r>
        <w:t>ОБ УТВЕРЖДЕНИИ МУНИЦИПАЛЬНОЙ ПРОГРАММЫ</w:t>
      </w:r>
    </w:p>
    <w:p w:rsidR="00D50B96" w:rsidRDefault="00D50B96">
      <w:pPr>
        <w:pStyle w:val="ConsPlusTitle"/>
        <w:jc w:val="center"/>
      </w:pPr>
      <w:r>
        <w:t>"ТЕРРИТОРИАЛЬНО-ПРОСТРАНСТВЕННОЕ РАЗВИТИЕ ТУРИСТСКОГО КОДА</w:t>
      </w:r>
    </w:p>
    <w:p w:rsidR="00D50B96" w:rsidRDefault="00D50B96">
      <w:pPr>
        <w:pStyle w:val="ConsPlusTitle"/>
        <w:jc w:val="center"/>
      </w:pPr>
      <w:r>
        <w:t>ЦЕНТРА ГОРОДА ОРЛА НА 2022 - 2024 ГОДЫ"</w:t>
      </w:r>
    </w:p>
    <w:p w:rsidR="00D50B96" w:rsidRDefault="00D50B96" w:rsidP="00D50B96">
      <w:pPr>
        <w:pStyle w:val="ConsPlusNormal"/>
        <w:jc w:val="both"/>
      </w:pPr>
    </w:p>
    <w:p w:rsidR="00D50B96" w:rsidRDefault="00D50B9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Уставом</w:t>
        </w:r>
      </w:hyperlink>
      <w:r>
        <w:t xml:space="preserve"> города Орла,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28.10.2013 N 4849 "Об утверждении Порядка разработки, реализации и оценки эффективности муниципальных программ города Орла" администрация города Орла постановляет: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4">
        <w:r>
          <w:rPr>
            <w:color w:val="0000FF"/>
          </w:rPr>
          <w:t>программу</w:t>
        </w:r>
      </w:hyperlink>
      <w:r>
        <w:t xml:space="preserve"> "Территориально-пространственное развитие туристского кода центра города Орла на 2022 - 2024 годы" (приложение).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2. Распространить действие настоящего постановления на правоотношения, возникшие с 08.07.2022.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3.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Мэра города Орла И.В. </w:t>
      </w:r>
      <w:proofErr w:type="spellStart"/>
      <w:r>
        <w:t>Проваленкову</w:t>
      </w:r>
      <w:proofErr w:type="spellEnd"/>
      <w:r>
        <w:t xml:space="preserve"> и в соответствии с подпунктом 1.1 пункта 1 распоряжения Администрации города Орла от 24.09.2021 N 992 на первого заместителя Мэра города Орла.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jc w:val="right"/>
      </w:pPr>
      <w:r>
        <w:t>Мэр города Орла</w:t>
      </w:r>
    </w:p>
    <w:p w:rsidR="00D50B96" w:rsidRDefault="00D50B96">
      <w:pPr>
        <w:pStyle w:val="ConsPlusNormal"/>
        <w:jc w:val="right"/>
      </w:pPr>
      <w:r>
        <w:t>Ю.Н.ПАРАХИН</w:t>
      </w:r>
    </w:p>
    <w:p w:rsidR="00D50B96" w:rsidRPr="00D50B96" w:rsidRDefault="00D50B96" w:rsidP="00D50B96">
      <w:pPr>
        <w:rPr>
          <w:rFonts w:eastAsiaTheme="minorEastAsia" w:cs="Times New Roman"/>
          <w:lang w:eastAsia="ru-RU"/>
        </w:rPr>
      </w:pPr>
      <w:r>
        <w:br w:type="page"/>
      </w:r>
    </w:p>
    <w:p w:rsidR="00D50B96" w:rsidRDefault="00D50B96">
      <w:pPr>
        <w:pStyle w:val="ConsPlusNormal"/>
        <w:jc w:val="right"/>
        <w:outlineLvl w:val="0"/>
      </w:pPr>
      <w:r>
        <w:lastRenderedPageBreak/>
        <w:t>Приложение</w:t>
      </w:r>
    </w:p>
    <w:p w:rsidR="00D50B96" w:rsidRDefault="00D50B96">
      <w:pPr>
        <w:pStyle w:val="ConsPlusNormal"/>
        <w:jc w:val="right"/>
      </w:pPr>
      <w:r>
        <w:t>к постановлению</w:t>
      </w:r>
    </w:p>
    <w:p w:rsidR="00D50B96" w:rsidRDefault="00D50B96">
      <w:pPr>
        <w:pStyle w:val="ConsPlusNormal"/>
        <w:jc w:val="right"/>
      </w:pPr>
      <w:r>
        <w:t>Администрации города Орла</w:t>
      </w:r>
    </w:p>
    <w:p w:rsidR="00D50B96" w:rsidRDefault="00D50B96">
      <w:pPr>
        <w:pStyle w:val="ConsPlusNormal"/>
        <w:jc w:val="right"/>
      </w:pPr>
      <w:r>
        <w:t>от 8 июля 2022 г. N 3847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Title"/>
        <w:jc w:val="center"/>
      </w:pPr>
      <w:bookmarkStart w:id="0" w:name="P34"/>
      <w:bookmarkEnd w:id="0"/>
      <w:r>
        <w:t>МУНИЦИПАЛЬНАЯ ПРОГРАММА</w:t>
      </w:r>
    </w:p>
    <w:p w:rsidR="00D50B96" w:rsidRDefault="00D50B96">
      <w:pPr>
        <w:pStyle w:val="ConsPlusTitle"/>
        <w:jc w:val="center"/>
      </w:pPr>
      <w:r>
        <w:t xml:space="preserve">"ТЕРРИТОРИАЛЬНО-ПРОСТРАНСТВЕННОЕ РАЗВИТИЕ </w:t>
      </w:r>
      <w:proofErr w:type="gramStart"/>
      <w:r>
        <w:t>ТУРИСТСКОГО</w:t>
      </w:r>
      <w:proofErr w:type="gramEnd"/>
    </w:p>
    <w:p w:rsidR="00D50B96" w:rsidRDefault="00D50B96">
      <w:pPr>
        <w:pStyle w:val="ConsPlusTitle"/>
        <w:jc w:val="center"/>
      </w:pPr>
      <w:r>
        <w:t>КОДА ЦЕНТРА ГОРОДА ОРЛА НА 2022 - 2024 ГОДЫ"</w:t>
      </w:r>
    </w:p>
    <w:p w:rsidR="00D50B96" w:rsidRDefault="00D50B96">
      <w:pPr>
        <w:pStyle w:val="ConsPlusNormal"/>
        <w:spacing w:after="1"/>
      </w:pP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Title"/>
        <w:jc w:val="center"/>
        <w:outlineLvl w:val="1"/>
      </w:pPr>
      <w:r>
        <w:t>ПАСПОРТ</w:t>
      </w:r>
    </w:p>
    <w:p w:rsidR="00D50B96" w:rsidRDefault="00D50B96">
      <w:pPr>
        <w:pStyle w:val="ConsPlusTitle"/>
        <w:jc w:val="center"/>
      </w:pPr>
      <w:r>
        <w:t>муниципальной программы</w:t>
      </w:r>
    </w:p>
    <w:p w:rsidR="00D50B96" w:rsidRDefault="00D50B96">
      <w:pPr>
        <w:pStyle w:val="ConsPlusTitle"/>
        <w:jc w:val="center"/>
      </w:pPr>
      <w:r>
        <w:t xml:space="preserve">"Территориально-пространственное развитие </w:t>
      </w:r>
      <w:proofErr w:type="gramStart"/>
      <w:r>
        <w:t>туристского</w:t>
      </w:r>
      <w:proofErr w:type="gramEnd"/>
    </w:p>
    <w:p w:rsidR="00D50B96" w:rsidRDefault="00D50B96">
      <w:pPr>
        <w:pStyle w:val="ConsPlusTitle"/>
        <w:jc w:val="center"/>
      </w:pPr>
      <w:r>
        <w:t>кода центра города Орла на 2022 - 2024 годы"</w:t>
      </w:r>
    </w:p>
    <w:p w:rsidR="00D50B96" w:rsidRDefault="00D50B9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04"/>
        <w:gridCol w:w="6917"/>
      </w:tblGrid>
      <w:tr w:rsidR="00D50B96">
        <w:tc>
          <w:tcPr>
            <w:tcW w:w="2104" w:type="dxa"/>
          </w:tcPr>
          <w:p w:rsidR="00D50B96" w:rsidRDefault="00D50B96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917" w:type="dxa"/>
          </w:tcPr>
          <w:p w:rsidR="00D50B96" w:rsidRDefault="00D50B96">
            <w:pPr>
              <w:pStyle w:val="ConsPlusNormal"/>
            </w:pPr>
            <w:r>
              <w:t>Территориально-пространственное развитие туристского кода центра города Орла на 2022 - 2024 годы (далее - Программа)</w:t>
            </w:r>
          </w:p>
        </w:tc>
      </w:tr>
      <w:tr w:rsidR="00D50B96">
        <w:tc>
          <w:tcPr>
            <w:tcW w:w="2104" w:type="dxa"/>
          </w:tcPr>
          <w:p w:rsidR="00D50B96" w:rsidRDefault="00D50B96">
            <w:pPr>
              <w:pStyle w:val="ConsPlusNormal"/>
            </w:pPr>
            <w:r>
              <w:t>Ответственный исполнитель Программы, главный распорядитель бюджетных средств</w:t>
            </w:r>
          </w:p>
        </w:tc>
        <w:tc>
          <w:tcPr>
            <w:tcW w:w="6917" w:type="dxa"/>
          </w:tcPr>
          <w:p w:rsidR="00D50B96" w:rsidRDefault="00D50B96">
            <w:pPr>
              <w:pStyle w:val="ConsPlusNormal"/>
            </w:pPr>
            <w:r>
              <w:t>Управление строительства, дорожного хозяйства и благоустройства администрации города Орла</w:t>
            </w:r>
          </w:p>
        </w:tc>
      </w:tr>
      <w:tr w:rsidR="00D50B96">
        <w:tc>
          <w:tcPr>
            <w:tcW w:w="2104" w:type="dxa"/>
          </w:tcPr>
          <w:p w:rsidR="00D50B96" w:rsidRDefault="00D50B96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6917" w:type="dxa"/>
          </w:tcPr>
          <w:p w:rsidR="00D50B96" w:rsidRDefault="00D50B96">
            <w:pPr>
              <w:pStyle w:val="ConsPlusNormal"/>
            </w:pPr>
            <w:r>
              <w:t>МКУ "ОМЗ г. Орла".</w:t>
            </w:r>
          </w:p>
          <w:p w:rsidR="00D50B96" w:rsidRDefault="00D50B96">
            <w:pPr>
              <w:pStyle w:val="ConsPlusNormal"/>
            </w:pPr>
            <w:r>
              <w:t>Управление культуры администрации города Орла.</w:t>
            </w:r>
          </w:p>
          <w:p w:rsidR="00D50B96" w:rsidRDefault="00D50B96">
            <w:pPr>
              <w:pStyle w:val="ConsPlusNormal"/>
            </w:pPr>
            <w:r>
              <w:t>МБУК "Детский парк".</w:t>
            </w:r>
          </w:p>
          <w:p w:rsidR="00D50B96" w:rsidRDefault="00D50B96">
            <w:pPr>
              <w:pStyle w:val="ConsPlusNormal"/>
            </w:pPr>
            <w:r>
              <w:t>МАУК "Городской парк культуры и отдыха".</w:t>
            </w:r>
          </w:p>
          <w:p w:rsidR="00D50B96" w:rsidRDefault="00D50B96">
            <w:pPr>
              <w:pStyle w:val="ConsPlusNormal"/>
            </w:pPr>
            <w:r>
              <w:t>Администрация города Орла</w:t>
            </w:r>
          </w:p>
        </w:tc>
      </w:tr>
      <w:tr w:rsidR="00D50B96">
        <w:tc>
          <w:tcPr>
            <w:tcW w:w="2104" w:type="dxa"/>
          </w:tcPr>
          <w:p w:rsidR="00D50B96" w:rsidRDefault="00D50B96">
            <w:pPr>
              <w:pStyle w:val="ConsPlusNormal"/>
            </w:pPr>
            <w:r>
              <w:t>Цели Программы</w:t>
            </w:r>
          </w:p>
        </w:tc>
        <w:tc>
          <w:tcPr>
            <w:tcW w:w="6917" w:type="dxa"/>
          </w:tcPr>
          <w:p w:rsidR="00D50B96" w:rsidRDefault="00D50B96">
            <w:pPr>
              <w:pStyle w:val="ConsPlusNormal"/>
            </w:pPr>
            <w:r>
              <w:t>Обеспечение устойчивого и сбалансированного развития территории туристского кода центра города в целях повышения качества жизни жителей и увеличения туристического потока</w:t>
            </w:r>
          </w:p>
        </w:tc>
      </w:tr>
      <w:tr w:rsidR="00D50B96">
        <w:tc>
          <w:tcPr>
            <w:tcW w:w="2104" w:type="dxa"/>
          </w:tcPr>
          <w:p w:rsidR="00D50B96" w:rsidRDefault="00D50B96">
            <w:pPr>
              <w:pStyle w:val="ConsPlusNormal"/>
            </w:pPr>
            <w:r>
              <w:t>Задачи Программы</w:t>
            </w:r>
          </w:p>
        </w:tc>
        <w:tc>
          <w:tcPr>
            <w:tcW w:w="6917" w:type="dxa"/>
          </w:tcPr>
          <w:p w:rsidR="00D50B96" w:rsidRDefault="00D50B96">
            <w:pPr>
              <w:pStyle w:val="ConsPlusNormal"/>
            </w:pPr>
            <w:r>
              <w:t>а) преобразование городских территорий, направленное на социально-экономическое развитие города;</w:t>
            </w:r>
          </w:p>
          <w:p w:rsidR="00D50B96" w:rsidRDefault="00D50B96">
            <w:pPr>
              <w:pStyle w:val="ConsPlusNormal"/>
            </w:pPr>
            <w:r>
              <w:t>б) формирование комфортной и уникальной городской среды, направленное на повышение качества жизни жителей, пребывания гостей города и качественное функционирование туристской инфраструктуры</w:t>
            </w:r>
          </w:p>
        </w:tc>
      </w:tr>
      <w:tr w:rsidR="00D50B96">
        <w:tc>
          <w:tcPr>
            <w:tcW w:w="2104" w:type="dxa"/>
          </w:tcPr>
          <w:p w:rsidR="00D50B96" w:rsidRDefault="00D50B96">
            <w:pPr>
              <w:pStyle w:val="ConsPlusNormal"/>
            </w:pPr>
            <w:r>
              <w:lastRenderedPageBreak/>
              <w:t>Целевые индикаторы и показатели Программы</w:t>
            </w:r>
          </w:p>
        </w:tc>
        <w:tc>
          <w:tcPr>
            <w:tcW w:w="6917" w:type="dxa"/>
          </w:tcPr>
          <w:p w:rsidR="00D50B96" w:rsidRDefault="00D50B96">
            <w:pPr>
              <w:pStyle w:val="ConsPlusNormal"/>
            </w:pPr>
            <w:r>
              <w:t>Количество установленных информационных стоек навигации: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- 5;</w:t>
            </w:r>
          </w:p>
          <w:p w:rsidR="00D50B96" w:rsidRDefault="00D50B96">
            <w:pPr>
              <w:pStyle w:val="ConsPlusNormal"/>
            </w:pPr>
            <w:r>
              <w:t>- в 2024 году - 0.</w:t>
            </w:r>
          </w:p>
          <w:p w:rsidR="00D50B96" w:rsidRDefault="00D50B96">
            <w:pPr>
              <w:pStyle w:val="ConsPlusNormal"/>
            </w:pPr>
            <w:r>
              <w:t>Количество объектов, на которых установлена архитектурная подсветка: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- 31;</w:t>
            </w:r>
          </w:p>
          <w:p w:rsidR="00D50B96" w:rsidRDefault="00D50B96">
            <w:pPr>
              <w:pStyle w:val="ConsPlusNormal"/>
            </w:pPr>
            <w:r>
              <w:t>- в 2024 году - 0.</w:t>
            </w:r>
          </w:p>
          <w:p w:rsidR="00D50B96" w:rsidRDefault="00D50B96">
            <w:pPr>
              <w:pStyle w:val="ConsPlusNormal"/>
            </w:pPr>
            <w:r>
              <w:t>Количество приобретенных скульптурных композиций: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- 0;</w:t>
            </w:r>
          </w:p>
          <w:p w:rsidR="00D50B96" w:rsidRDefault="00D50B96">
            <w:pPr>
              <w:pStyle w:val="ConsPlusNormal"/>
            </w:pPr>
            <w:r>
              <w:t>- в 2024 году - 1.</w:t>
            </w:r>
          </w:p>
          <w:p w:rsidR="00D50B96" w:rsidRDefault="00D50B96">
            <w:pPr>
              <w:pStyle w:val="ConsPlusNormal"/>
            </w:pPr>
            <w:r>
              <w:t>Количество ориентирующих указателей, карт-схем, информационных конструкций и знаков: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- 20;</w:t>
            </w:r>
          </w:p>
          <w:p w:rsidR="00D50B96" w:rsidRDefault="00D50B96">
            <w:pPr>
              <w:pStyle w:val="ConsPlusNormal"/>
            </w:pPr>
            <w:r>
              <w:t>- в 2024 году - 0.</w:t>
            </w:r>
          </w:p>
          <w:p w:rsidR="00D50B96" w:rsidRDefault="00D50B96">
            <w:pPr>
              <w:pStyle w:val="ConsPlusNormal"/>
            </w:pPr>
            <w:r>
              <w:t xml:space="preserve">Количество установленных световых консолей, </w:t>
            </w:r>
            <w:proofErr w:type="spellStart"/>
            <w:r>
              <w:t>арт-объектов</w:t>
            </w:r>
            <w:proofErr w:type="spellEnd"/>
            <w:r>
              <w:t xml:space="preserve">, </w:t>
            </w:r>
            <w:proofErr w:type="spellStart"/>
            <w:r>
              <w:t>свето-декоративных</w:t>
            </w:r>
            <w:proofErr w:type="spellEnd"/>
            <w:r>
              <w:t xml:space="preserve"> арок: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- 185;</w:t>
            </w:r>
          </w:p>
          <w:p w:rsidR="00D50B96" w:rsidRDefault="00D50B96">
            <w:pPr>
              <w:pStyle w:val="ConsPlusNormal"/>
            </w:pPr>
            <w:r>
              <w:t>- в 2024 году - 6.</w:t>
            </w:r>
          </w:p>
          <w:p w:rsidR="00D50B96" w:rsidRDefault="00D50B96">
            <w:pPr>
              <w:pStyle w:val="ConsPlusNormal"/>
            </w:pPr>
            <w:r>
              <w:t>Количество установленных пандусов (лестничных гусеничных подъемников для инвалидов):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- 1;</w:t>
            </w:r>
          </w:p>
          <w:p w:rsidR="00D50B96" w:rsidRDefault="00D50B96">
            <w:pPr>
              <w:pStyle w:val="ConsPlusNormal"/>
            </w:pPr>
            <w:r>
              <w:t>- в 2024 году - 0.</w:t>
            </w:r>
          </w:p>
          <w:p w:rsidR="00D50B96" w:rsidRDefault="00D50B96">
            <w:pPr>
              <w:pStyle w:val="ConsPlusNormal"/>
            </w:pPr>
            <w:r>
              <w:t>Количество установленных стоек экстренного вызова: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- 3;</w:t>
            </w:r>
          </w:p>
          <w:p w:rsidR="00D50B96" w:rsidRDefault="00D50B96">
            <w:pPr>
              <w:pStyle w:val="ConsPlusNormal"/>
            </w:pPr>
            <w:r>
              <w:t>- в 2024 году - 0.</w:t>
            </w:r>
          </w:p>
          <w:p w:rsidR="00D50B96" w:rsidRDefault="00D50B96">
            <w:pPr>
              <w:pStyle w:val="ConsPlusNormal"/>
            </w:pPr>
            <w:r>
              <w:t>Количество установленных общественных санузлов: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- 1;</w:t>
            </w:r>
          </w:p>
          <w:p w:rsidR="00D50B96" w:rsidRDefault="00D50B96">
            <w:pPr>
              <w:pStyle w:val="ConsPlusNormal"/>
            </w:pPr>
            <w:r>
              <w:t>- в 2024 году - 0.</w:t>
            </w:r>
          </w:p>
          <w:p w:rsidR="00D50B96" w:rsidRDefault="00D50B96">
            <w:pPr>
              <w:pStyle w:val="ConsPlusNormal"/>
            </w:pPr>
            <w:r>
              <w:t xml:space="preserve">Количество </w:t>
            </w:r>
            <w:proofErr w:type="spellStart"/>
            <w:r>
              <w:t>фотозон</w:t>
            </w:r>
            <w:proofErr w:type="spellEnd"/>
            <w:r>
              <w:t>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- 14;</w:t>
            </w:r>
          </w:p>
          <w:p w:rsidR="00D50B96" w:rsidRDefault="00D50B96">
            <w:pPr>
              <w:pStyle w:val="ConsPlusNormal"/>
            </w:pPr>
            <w:r>
              <w:t>- в 2024 году - 0.</w:t>
            </w:r>
          </w:p>
          <w:p w:rsidR="00D50B96" w:rsidRDefault="00D50B96">
            <w:pPr>
              <w:pStyle w:val="ConsPlusNormal"/>
            </w:pPr>
            <w:r>
              <w:t xml:space="preserve">Количество мобильных нестационарных </w:t>
            </w:r>
            <w:proofErr w:type="spellStart"/>
            <w:r>
              <w:t>торгово-ярморочных</w:t>
            </w:r>
            <w:proofErr w:type="spellEnd"/>
            <w:r>
              <w:t xml:space="preserve"> павильонов, мобильных стационарных некапитальных павильонов торговли, уличной мебели и </w:t>
            </w:r>
            <w:r>
              <w:lastRenderedPageBreak/>
              <w:t>иного оборудования для проведения праздничных мероприятий:</w:t>
            </w:r>
          </w:p>
          <w:p w:rsidR="00D50B96" w:rsidRDefault="00D50B96">
            <w:pPr>
              <w:pStyle w:val="ConsPlusNormal"/>
            </w:pPr>
            <w:r>
              <w:t>- в 2022 году - 0;</w:t>
            </w:r>
          </w:p>
          <w:p w:rsidR="00D50B96" w:rsidRDefault="00D50B96">
            <w:pPr>
              <w:pStyle w:val="ConsPlusNormal"/>
            </w:pPr>
            <w:r>
              <w:t>- в 2023 году - 263;</w:t>
            </w:r>
          </w:p>
          <w:p w:rsidR="00D50B96" w:rsidRDefault="00D50B96">
            <w:pPr>
              <w:pStyle w:val="ConsPlusNormal"/>
            </w:pPr>
            <w:r>
              <w:t>- в 2024 году - 2</w:t>
            </w:r>
          </w:p>
        </w:tc>
      </w:tr>
      <w:tr w:rsidR="00D50B96">
        <w:tc>
          <w:tcPr>
            <w:tcW w:w="2104" w:type="dxa"/>
          </w:tcPr>
          <w:p w:rsidR="00D50B96" w:rsidRDefault="00D50B96">
            <w:pPr>
              <w:pStyle w:val="ConsPlusNormal"/>
            </w:pPr>
            <w:r>
              <w:lastRenderedPageBreak/>
              <w:t>Сроки реализации Программы</w:t>
            </w:r>
          </w:p>
        </w:tc>
        <w:tc>
          <w:tcPr>
            <w:tcW w:w="6917" w:type="dxa"/>
          </w:tcPr>
          <w:p w:rsidR="00D50B96" w:rsidRDefault="00D50B96">
            <w:pPr>
              <w:pStyle w:val="ConsPlusNormal"/>
            </w:pPr>
            <w:r>
              <w:t>2022 - 2024 годы</w:t>
            </w:r>
          </w:p>
        </w:tc>
      </w:tr>
      <w:tr w:rsidR="00D50B96">
        <w:tc>
          <w:tcPr>
            <w:tcW w:w="2104" w:type="dxa"/>
          </w:tcPr>
          <w:p w:rsidR="00D50B96" w:rsidRDefault="00D50B96">
            <w:pPr>
              <w:pStyle w:val="ConsPlusNormal"/>
            </w:pPr>
            <w:r>
              <w:t>Планируемые объемы бюджетных ассигнований на реализацию Программы</w:t>
            </w:r>
          </w:p>
        </w:tc>
        <w:tc>
          <w:tcPr>
            <w:tcW w:w="6917" w:type="dxa"/>
          </w:tcPr>
          <w:p w:rsidR="00D50B96" w:rsidRDefault="00D50B96">
            <w:pPr>
              <w:pStyle w:val="ConsPlusNormal"/>
            </w:pPr>
            <w:r>
              <w:t>Общий объем средств, предусмотренных на реализацию Программы, - 230142,91 тыс. руб., в том числе:</w:t>
            </w:r>
          </w:p>
          <w:p w:rsidR="00D50B96" w:rsidRDefault="00D50B96">
            <w:pPr>
              <w:pStyle w:val="ConsPlusNormal"/>
            </w:pPr>
            <w:r>
              <w:t>в 2022 году - 0,00 тыс. рублей;</w:t>
            </w:r>
          </w:p>
          <w:p w:rsidR="00D50B96" w:rsidRDefault="00D50B96">
            <w:pPr>
              <w:pStyle w:val="ConsPlusNormal"/>
            </w:pPr>
            <w:r>
              <w:t>в 2023 году - 217389,11 тыс. рублей;</w:t>
            </w:r>
          </w:p>
          <w:p w:rsidR="00D50B96" w:rsidRDefault="00D50B96">
            <w:pPr>
              <w:pStyle w:val="ConsPlusNormal"/>
            </w:pPr>
            <w:r>
              <w:t>в 2024 году - 12753,80 тыс. рублей;</w:t>
            </w:r>
          </w:p>
          <w:p w:rsidR="00D50B96" w:rsidRDefault="00D50B96">
            <w:pPr>
              <w:pStyle w:val="ConsPlusNormal"/>
            </w:pPr>
            <w:r>
              <w:t>из них по источникам финансирования:</w:t>
            </w:r>
          </w:p>
          <w:p w:rsidR="00D50B96" w:rsidRDefault="00D50B96">
            <w:pPr>
              <w:pStyle w:val="ConsPlusNormal"/>
            </w:pPr>
            <w:r>
              <w:t>- средства федерального бюджета - 227500,00 тыс. руб., в том числе:</w:t>
            </w:r>
          </w:p>
          <w:p w:rsidR="00D50B96" w:rsidRDefault="00D50B96">
            <w:pPr>
              <w:pStyle w:val="ConsPlusNormal"/>
            </w:pPr>
            <w:r>
              <w:t>в 2022 году - 0,00 тыс. рублей;</w:t>
            </w:r>
          </w:p>
          <w:p w:rsidR="00D50B96" w:rsidRDefault="00D50B96">
            <w:pPr>
              <w:pStyle w:val="ConsPlusNormal"/>
            </w:pPr>
            <w:r>
              <w:t>в 2023 году - 215000,00 тыс. рублей;</w:t>
            </w:r>
          </w:p>
          <w:p w:rsidR="00D50B96" w:rsidRDefault="00D50B96">
            <w:pPr>
              <w:pStyle w:val="ConsPlusNormal"/>
            </w:pPr>
            <w:r>
              <w:t>в 2024 году - 12500,00 тыс. рублей;</w:t>
            </w:r>
          </w:p>
          <w:p w:rsidR="00D50B96" w:rsidRDefault="00D50B96">
            <w:pPr>
              <w:pStyle w:val="ConsPlusNormal"/>
            </w:pPr>
            <w:r>
              <w:t>- средства областного бюджета - 2297,98 тыс. руб., в том числе:</w:t>
            </w:r>
          </w:p>
          <w:p w:rsidR="00D50B96" w:rsidRDefault="00D50B96">
            <w:pPr>
              <w:pStyle w:val="ConsPlusNormal"/>
            </w:pPr>
            <w:r>
              <w:t>в 2022 году - 0,00 тыс. рублей;</w:t>
            </w:r>
          </w:p>
          <w:p w:rsidR="00D50B96" w:rsidRDefault="00D50B96">
            <w:pPr>
              <w:pStyle w:val="ConsPlusNormal"/>
            </w:pPr>
            <w:r>
              <w:t>в 2023 году - 2171,72 тыс. рублей;</w:t>
            </w:r>
          </w:p>
          <w:p w:rsidR="00D50B96" w:rsidRDefault="00D50B96">
            <w:pPr>
              <w:pStyle w:val="ConsPlusNormal"/>
            </w:pPr>
            <w:r>
              <w:t>в 2024 году - 126,26 тыс. рублей;</w:t>
            </w:r>
          </w:p>
          <w:p w:rsidR="00D50B96" w:rsidRDefault="00D50B96">
            <w:pPr>
              <w:pStyle w:val="ConsPlusNormal"/>
            </w:pPr>
            <w:r>
              <w:t>- средства бюджета города Орла - 344,93 тыс. руб., в том числе:</w:t>
            </w:r>
          </w:p>
          <w:p w:rsidR="00D50B96" w:rsidRDefault="00D50B96">
            <w:pPr>
              <w:pStyle w:val="ConsPlusNormal"/>
            </w:pPr>
            <w:r>
              <w:t>в 2022 году - 0,00 тыс. рублей;</w:t>
            </w:r>
          </w:p>
          <w:p w:rsidR="00D50B96" w:rsidRDefault="00D50B96">
            <w:pPr>
              <w:pStyle w:val="ConsPlusNormal"/>
            </w:pPr>
            <w:r>
              <w:t>в 2023 году - 217,39 тыс. рублей;</w:t>
            </w:r>
          </w:p>
          <w:p w:rsidR="00D50B96" w:rsidRDefault="00D50B96">
            <w:pPr>
              <w:pStyle w:val="ConsPlusNormal"/>
            </w:pPr>
            <w:r>
              <w:t>в 2024 году - 127,54 тыс. рублей</w:t>
            </w:r>
          </w:p>
        </w:tc>
      </w:tr>
      <w:tr w:rsidR="00D50B96">
        <w:tc>
          <w:tcPr>
            <w:tcW w:w="2104" w:type="dxa"/>
          </w:tcPr>
          <w:p w:rsidR="00D50B96" w:rsidRDefault="00D50B96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917" w:type="dxa"/>
          </w:tcPr>
          <w:p w:rsidR="00D50B96" w:rsidRDefault="00D50B96">
            <w:pPr>
              <w:pStyle w:val="ConsPlusNormal"/>
            </w:pPr>
            <w:r>
              <w:t>Повышение туристической привлекательности города Орла.</w:t>
            </w:r>
          </w:p>
          <w:p w:rsidR="00D50B96" w:rsidRDefault="00D50B96">
            <w:pPr>
              <w:pStyle w:val="ConsPlusNormal"/>
            </w:pPr>
            <w:r>
              <w:t>Увеличение туристических поездок в город Орел.</w:t>
            </w:r>
          </w:p>
          <w:p w:rsidR="00D50B96" w:rsidRDefault="00D50B96">
            <w:pPr>
              <w:pStyle w:val="ConsPlusNormal"/>
            </w:pPr>
            <w:r>
              <w:t>Увеличение объемов предоставляемых услуг в сфере туризма</w:t>
            </w:r>
          </w:p>
        </w:tc>
      </w:tr>
    </w:tbl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Title"/>
        <w:jc w:val="center"/>
        <w:outlineLvl w:val="1"/>
      </w:pPr>
      <w:r>
        <w:t>Раздел 1. Общая характеристика сферы реализации Программы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  <w:r>
        <w:t xml:space="preserve">Неравномерность экономического и социального развития территорий в границах города определила необходимость стратегического планирования и установления баланса по их развитию. Решение этой стратегической задачи обеспечивается развитием городского пространства с диверсифицированной экономикой и инфраструктурой, а также высоким качеством жизни </w:t>
      </w:r>
      <w:r>
        <w:lastRenderedPageBreak/>
        <w:t>населения и пребывания гостей города.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Создание таких условий обеспечит устойчивое пространственное развитие города и окажет существенное влияние на качество жизни горожан и пребывания гостей города посредством многофункционального использования территорий. Выявление в границах города неэффективно используемых территорий, имеющих дополнительный потенциал развития, позволит вовлечь существующий территориальный ресурс, который, в отличие от отдаленных территорий, уже обеспечен транспортно-инженерной инфраструктурой. Эффективное использование территориальных ресурсов позволит сформировать рациональную, компактную планировочную структуру города.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Функциональное перепрограммирование общественных пространств позволит вернуть городу характер активного рекреационного центра. Реализация мероприятий Программы в сочетании с потенциалом развития туризма приведет к формированию в туристском центре города максимально привлекательной для жителей и его гостей комфортной среды, сохранившей историко-культурные особенности, наследие, объекты застройки и ландшафты. Проектное предложение благоустройства общественных пространств и формирования туристской инфраструктуры учитывает потребности всех целевых аудиторий, направлено на создание благоприятных условий для отдыха, развлечений и культурного развития жителей города и его гостей разных возрастных категорий и социальных групп, формирование </w:t>
      </w:r>
      <w:proofErr w:type="spellStart"/>
      <w:r>
        <w:t>досугово-событийной</w:t>
      </w:r>
      <w:proofErr w:type="spellEnd"/>
      <w:r>
        <w:t xml:space="preserve"> зоны.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Title"/>
        <w:jc w:val="center"/>
        <w:outlineLvl w:val="1"/>
      </w:pPr>
      <w:r>
        <w:t>Раздел 2. Приоритеты муниципальной политики</w:t>
      </w:r>
    </w:p>
    <w:p w:rsidR="00D50B96" w:rsidRDefault="00D50B96">
      <w:pPr>
        <w:pStyle w:val="ConsPlusTitle"/>
        <w:jc w:val="center"/>
      </w:pPr>
      <w:r>
        <w:t>в сфере реализации Программы, цели, задачи Программы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  <w:r>
        <w:t>Важнейшими аспектами городской политики являются обеспечение гармонии между осуществляемыми градостроительными преобразованиями и сохраняемым историко-культурным наследием, интегрирование новаций без разрушения исторически сформированного контекста, поддержание принципа непрерывного, устойчивого и сбалансированного развития.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Цель Программы: обеспечение устойчивого и сбалансированного развития территории туристского кода центра города в целях пребывания гостей города и повышения качества жизни жителей.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Задачи Программы: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преобразование городских территорий, направленное на социально-экономическое развитие города;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- формирование комфортной и уникальной городской среды, направленное на повышение качества жизни жителей и пребывания гостей </w:t>
      </w:r>
      <w:r>
        <w:lastRenderedPageBreak/>
        <w:t>города.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Срок реализации Программы: 2022 - 2024 г.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К основным мероприятиям Программы относится: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обеспечение интенсивного развития городских территорий;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сохранение компактной планировочной структуры города;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повышение эффективности использования городских территорий;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формирование многофункциональных городских территорий;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дифференциация показателей пространственного развития различных территорий;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расширение сети общественных пространств и рекреационных территорий;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создание единой сети удобного пешеходного пространства в центре города;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обновление городского облика и развитие образа города, сохранение его идентичности с учетом историко-культурного наследия;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сохранение и развитие пространств, имеющих историческое и культурное значение для города;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- создание условий для коммуникаций и </w:t>
      </w:r>
      <w:proofErr w:type="spellStart"/>
      <w:r>
        <w:t>креативной</w:t>
      </w:r>
      <w:proofErr w:type="spellEnd"/>
      <w:r>
        <w:t xml:space="preserve"> деятельности горожан, а также простран</w:t>
      </w:r>
      <w:proofErr w:type="gramStart"/>
      <w:r>
        <w:t>ств дл</w:t>
      </w:r>
      <w:proofErr w:type="gramEnd"/>
      <w:r>
        <w:t>я проведения мероприятий и поддержание инициатив по развитию города;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повышение эстетического качества, а также качества благоустройства и содержания общественных пространств;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повышение уровня безопасности городских пространств;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создание, а также поддержание качественного функционирования туристской инфраструктуры на территории туристского центра города как важнейшей составной части социально-экономического развития города.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Создание, а также поддержание качественного функционирования туристской инфраструктуры на территории туристского кода центра города осуществляется в отношении: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классифицированных гостиниц;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lastRenderedPageBreak/>
        <w:t>- объектов общественного питания;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туристско-информационных центров;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системы туристской навигации;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экскурсионной навигации;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городских ярмарок;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площадок проведения культурно-массовых мероприятий;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малых архитектурных форм;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парковок туристических автобусов и городского легкового такси;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систем раздельного сбора мусора;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помещений для торговли товарами, актуальными для туристов;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туристских прогулочных маршрутов;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маршрутов безопасного велосипедного передвижения;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адаптированного для горожан и туристов транспорта;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декоративной фасадной подсветки зданий;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системы безопасного пребывания туристов в границах туристского центра города;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элементов доступной среды, приспособленной для нужд инвалидов;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- городских скульптурных композиций.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Title"/>
        <w:jc w:val="center"/>
        <w:outlineLvl w:val="1"/>
      </w:pPr>
      <w:r>
        <w:t>Раздел 3. Перечень и характеристика мероприятий</w:t>
      </w:r>
    </w:p>
    <w:p w:rsidR="00D50B96" w:rsidRDefault="00D50B96">
      <w:pPr>
        <w:pStyle w:val="ConsPlusTitle"/>
        <w:jc w:val="center"/>
      </w:pPr>
      <w:r>
        <w:t>Программы, ресурсное обеспечение Программы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  <w:r>
        <w:t>Обустройство ориентирующих указателей, информационных конструкций и знаков для удобной пешеходной навигации российских и иностранных туристов.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Дизайн, производство и последующая установка: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а) информационных конструкций;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б) информационных указателей;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lastRenderedPageBreak/>
        <w:t>в) знаков, информационных табличек для пешеходной навигации туристов.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Размещение архитектурной подсветки.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Дизайн, производство и установка: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а) элементов декоративной архитектурной подсветки.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Устройство уличной инфраструктуры для комфортного и безопасного передвижения лиц с ограниченными возможностями.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Производство и установка лестничного гусеничного подъемника (</w:t>
      </w:r>
      <w:proofErr w:type="spellStart"/>
      <w:r>
        <w:t>безбарьерная</w:t>
      </w:r>
      <w:proofErr w:type="spellEnd"/>
      <w:r>
        <w:t xml:space="preserve"> среда) на протяженности пешеходного культурно-познавательного прогулочного маршрута по туристскому центру.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Формирование комфортной для пешеходов и туристов городской среды.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Дизайн, производство, приобретение и установка:</w:t>
      </w:r>
    </w:p>
    <w:p w:rsidR="00D50B96" w:rsidRDefault="00D50B96">
      <w:pPr>
        <w:pStyle w:val="ConsPlusNormal"/>
        <w:spacing w:before="280"/>
        <w:ind w:firstLine="540"/>
        <w:jc w:val="both"/>
      </w:pPr>
      <w:proofErr w:type="gramStart"/>
      <w:r>
        <w:t xml:space="preserve">а) малых архитектурных стационарных форм: </w:t>
      </w:r>
      <w:proofErr w:type="spellStart"/>
      <w:r>
        <w:t>арт-объектов</w:t>
      </w:r>
      <w:proofErr w:type="spellEnd"/>
      <w:r>
        <w:t xml:space="preserve">, художественных форм, являющихся отражением культуры, быта, колорита, присущего городу, арок, </w:t>
      </w:r>
      <w:proofErr w:type="spellStart"/>
      <w:r>
        <w:t>пергол</w:t>
      </w:r>
      <w:proofErr w:type="spellEnd"/>
      <w:r>
        <w:t>, стоек, консолей, в т.ч. оборудованных USB-розетками для подзарядки мобильных устройств;</w:t>
      </w:r>
      <w:proofErr w:type="gramEnd"/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б) проектирование, приобретение и устройство </w:t>
      </w:r>
      <w:proofErr w:type="spellStart"/>
      <w:r>
        <w:t>арт-объектов</w:t>
      </w:r>
      <w:proofErr w:type="spellEnd"/>
      <w:r>
        <w:t>, городских скульптурных композиций малых архитектурных форм, формирующих привлекательный облик для туристов и горожан.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Обустройство </w:t>
      </w:r>
      <w:proofErr w:type="spellStart"/>
      <w:r>
        <w:t>фотозон</w:t>
      </w:r>
      <w:proofErr w:type="spellEnd"/>
      <w:r>
        <w:t xml:space="preserve"> и смотровых площадок.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Дизайн, производство и установка: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а) малых архитектурных стационарных </w:t>
      </w:r>
      <w:proofErr w:type="spellStart"/>
      <w:r>
        <w:t>арт-объектов</w:t>
      </w:r>
      <w:proofErr w:type="spellEnd"/>
      <w:r>
        <w:t xml:space="preserve"> в части размещения иконок или логотипов, или узнаваемого элемента города, букв названия или бренда города, туристической территории;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б) фотогеничных инсталляций, идентифицирующих место фотографии или муниципальное образование.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Мероприятия, направленные на повышение уровня безопасности, санитарно-эпидемиологического и экологического благополучия.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Производство и установка: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а) стоек экстренного вызова спецслужб (112);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lastRenderedPageBreak/>
        <w:t>б) общественных санузлов для туристов и горожан.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Оснащение площадок и мест проведения праздничных городских ярмарок.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Дизайн, производство и установка: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а) мобильных нестационарных торгово-ярмарочных павильонов, стационарных некапитальных павильонов торговли сувенирной продукцией с официальной местной символикой;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б) мобильных нестационарных ограждений и уличной мебели для проведения праздничных мероприятий;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в) сборно-разборных сцен, подиумов для проведения праздничных выступлений, мероприятий.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Title"/>
        <w:jc w:val="center"/>
        <w:outlineLvl w:val="1"/>
      </w:pPr>
      <w:r>
        <w:t>Раздел 4. Перечень целевых показателей Программы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  <w:r>
        <w:t>Программа реализуется в течение 2022 - 2024 г.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Количество установленных информационных стоек навигации в 2023 году - 5.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Количество объектов, на которых установлена архитектурная подсветка в 2023 году, - 31.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Количество ориентирующих указателей, карт-схем, информационных конструкций и знаков в 2023 году - 20.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Количество установленных световых консолей, </w:t>
      </w:r>
      <w:proofErr w:type="spellStart"/>
      <w:r>
        <w:t>арт-объектов</w:t>
      </w:r>
      <w:proofErr w:type="spellEnd"/>
      <w:r>
        <w:t xml:space="preserve">, </w:t>
      </w:r>
      <w:proofErr w:type="spellStart"/>
      <w:r>
        <w:t>свето-декоративных</w:t>
      </w:r>
      <w:proofErr w:type="spellEnd"/>
      <w:r>
        <w:t xml:space="preserve"> арок в 2023 году - 185, в 2024 году - 6.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Количество установленных пандусов (лестничных гусеничных подъемников) в 2023 году - 1.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Количество установленных стоек экстренного вызова в 2023 году - 3.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Количество установленных общественных санузлов в 2023 году - 1.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Количество </w:t>
      </w:r>
      <w:proofErr w:type="spellStart"/>
      <w:r>
        <w:t>фотозон</w:t>
      </w:r>
      <w:proofErr w:type="spellEnd"/>
      <w:r>
        <w:t xml:space="preserve"> в 2023 году - 14.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Количество мобильных нестационарных </w:t>
      </w:r>
      <w:proofErr w:type="spellStart"/>
      <w:r>
        <w:t>торгово-ярморочных</w:t>
      </w:r>
      <w:proofErr w:type="spellEnd"/>
      <w:r>
        <w:t xml:space="preserve"> павильонов, мобильных стационарных некапитальных павильонов торговли, уличной мебели и иного оборудования для проведения праздничных мероприятий в 2023 году - 263, в 2024 году - 2.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lastRenderedPageBreak/>
        <w:t>Количество приобретенных и установленных городских скульптурных композиций в 2024 году - 1.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Title"/>
        <w:jc w:val="center"/>
        <w:outlineLvl w:val="1"/>
      </w:pPr>
      <w:r>
        <w:t>Раздел 5. Ожидаемые результаты реализации Программы.</w:t>
      </w:r>
    </w:p>
    <w:p w:rsidR="00D50B96" w:rsidRDefault="00D50B96">
      <w:pPr>
        <w:pStyle w:val="ConsPlusTitle"/>
        <w:jc w:val="center"/>
      </w:pPr>
      <w:r>
        <w:t>Управление рисками реализации Программы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  <w:r>
        <w:t xml:space="preserve">Реализация мероприятий Программы активизирует инвестиционное развитие туристского кода центра города. В результате появятся точки роста, развитие туристической инфраструктуры. </w:t>
      </w:r>
      <w:proofErr w:type="gramStart"/>
      <w:r>
        <w:t xml:space="preserve">Благодаря мероприятиям, предусмотренным Программой, будут достигнуты такие социально-культурные эффекты, как: выявление идентичности территории, повышение имиджа Орла в России в качестве туристической </w:t>
      </w:r>
      <w:proofErr w:type="spellStart"/>
      <w:r>
        <w:t>дестинации</w:t>
      </w:r>
      <w:proofErr w:type="spellEnd"/>
      <w:r>
        <w:t>, стимулирование экономической активности, создание новых рабочих мест, повышение занятости населения в трудоспособном возрасте, повышение доступности и качества услуг населению в сфере организации досуга, торговли, туризма, улучшение состояния историко-градостроительной среды, увеличение туристического потока.</w:t>
      </w:r>
      <w:proofErr w:type="gramEnd"/>
    </w:p>
    <w:p w:rsidR="00D50B96" w:rsidRDefault="00D50B96">
      <w:pPr>
        <w:pStyle w:val="ConsPlusNormal"/>
        <w:spacing w:before="280"/>
        <w:ind w:firstLine="540"/>
        <w:jc w:val="both"/>
      </w:pPr>
      <w:r>
        <w:t>Основными эффектами реализации Программы являются: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1. Эффективное, рациональное и бережливое использование городского пространства (компактное развитие города). Повышение эффективности использования застроенных территорий. Улучшение связанности территорий внутри района и между различными районами города. Баланс транспортной доступности и интенсивности освоения территорий.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2. Сохранение существующих и создание новых элементов озеленения туристского центра города.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3. Повышение качества общественных территорий, формирование доступных, безопасных и качественных общественных пространств, учитывающих интересы разных социальных групп.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4. Баланс частных и общественных пространств. Формирование понятных границ между частным и общественным пространством. Формирование </w:t>
      </w:r>
      <w:proofErr w:type="spellStart"/>
      <w:r>
        <w:t>безбарьерной</w:t>
      </w:r>
      <w:proofErr w:type="spellEnd"/>
      <w:r>
        <w:t xml:space="preserve"> эстетичной среды. Повышение уровня безопасности.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5. Формирование среды, ориентированной на пешеходные перемещения.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6. Своеобразие и узнаваемость. Развитие идентичности туристского кода центра города за счет сохранения и </w:t>
      </w:r>
      <w:proofErr w:type="spellStart"/>
      <w:r>
        <w:t>ревитализации</w:t>
      </w:r>
      <w:proofErr w:type="spellEnd"/>
      <w:r>
        <w:t xml:space="preserve"> объектов культурного наследия и системы пространственных ориентиров.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 xml:space="preserve">7. Баланс социальных и экономических интересов. Экономическая обоснованность планировочных и объемно-пространственных решений. Учет </w:t>
      </w:r>
      <w:r>
        <w:lastRenderedPageBreak/>
        <w:t>интересов населения и бизнеса.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8. Создание предпосылок реализации мероприятий по совершенствованию туристского предложения городского атмосферного и культурно-познавательных направлений туризма.</w:t>
      </w:r>
    </w:p>
    <w:p w:rsidR="00D50B96" w:rsidRDefault="00D50B96">
      <w:pPr>
        <w:pStyle w:val="ConsPlusNormal"/>
        <w:spacing w:before="280"/>
        <w:ind w:firstLine="540"/>
        <w:jc w:val="both"/>
      </w:pPr>
      <w:r>
        <w:t>Программа является комплексным организационно-методическим и практическим планом действий в части территориально-пространственного развития центра города Орла на 2022 - 2024 годы. Программа имеет открытый характер, позволяющий в процессе ее реализации в соответствии с действующими процедурами вносить дополнения и изменения, связанные с изменениями законодательства, возможностями федерального, областного и местного бюджетов, другими вновь выявленными факторами создания и развития отдельных сфер деятельности.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jc w:val="right"/>
        <w:outlineLvl w:val="1"/>
      </w:pPr>
      <w:r>
        <w:t>Приложение</w:t>
      </w:r>
    </w:p>
    <w:p w:rsidR="00D50B96" w:rsidRDefault="00D50B96">
      <w:pPr>
        <w:pStyle w:val="ConsPlusNormal"/>
        <w:jc w:val="right"/>
      </w:pPr>
      <w:r>
        <w:t>к муниципальной программе</w:t>
      </w:r>
    </w:p>
    <w:p w:rsidR="00D50B96" w:rsidRDefault="00D50B96">
      <w:pPr>
        <w:pStyle w:val="ConsPlusNormal"/>
        <w:jc w:val="right"/>
      </w:pPr>
      <w:r>
        <w:t>"Территориально-пространственное развитие</w:t>
      </w:r>
    </w:p>
    <w:p w:rsidR="00D50B96" w:rsidRDefault="00D50B96">
      <w:pPr>
        <w:pStyle w:val="ConsPlusNormal"/>
        <w:jc w:val="right"/>
      </w:pPr>
      <w:r>
        <w:t>туристского кода центра города Орла</w:t>
      </w:r>
    </w:p>
    <w:p w:rsidR="00D50B96" w:rsidRDefault="00D50B96">
      <w:pPr>
        <w:pStyle w:val="ConsPlusNormal"/>
        <w:jc w:val="right"/>
      </w:pPr>
      <w:r>
        <w:t>на 2022 - 2024 годы"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Title"/>
        <w:jc w:val="center"/>
      </w:pPr>
      <w:r>
        <w:t>ПЕРЕЧЕНЬ</w:t>
      </w:r>
    </w:p>
    <w:p w:rsidR="00D50B96" w:rsidRDefault="00D50B96">
      <w:pPr>
        <w:pStyle w:val="ConsPlusTitle"/>
        <w:jc w:val="center"/>
      </w:pPr>
      <w:r>
        <w:t>МЕРОПРИЯТИЙ МУНИЦИПАЛЬНОЙ ПРОГРАММЫ</w:t>
      </w:r>
    </w:p>
    <w:p w:rsidR="00D50B96" w:rsidRDefault="00D50B96">
      <w:pPr>
        <w:pStyle w:val="ConsPlusTitle"/>
        <w:jc w:val="center"/>
      </w:pPr>
      <w:r>
        <w:t xml:space="preserve">"ТЕРРИТОРИАЛЬНО-ПРОСТРАНСТВЕННОЕ РАЗВИТИЕ </w:t>
      </w:r>
      <w:proofErr w:type="gramStart"/>
      <w:r>
        <w:t>ТУРИСТСКОГО</w:t>
      </w:r>
      <w:proofErr w:type="gramEnd"/>
    </w:p>
    <w:p w:rsidR="00D50B96" w:rsidRDefault="00D50B96">
      <w:pPr>
        <w:pStyle w:val="ConsPlusTitle"/>
        <w:jc w:val="center"/>
      </w:pPr>
      <w:r>
        <w:t>КОДА ЦЕНТРА ГОРОДА ОРЛА НА 2022 - 2024 ГОДЫ"</w:t>
      </w: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sectPr w:rsidR="00D50B96" w:rsidSect="00E06B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0"/>
        <w:gridCol w:w="3151"/>
        <w:gridCol w:w="1969"/>
        <w:gridCol w:w="1487"/>
        <w:gridCol w:w="1487"/>
        <w:gridCol w:w="1516"/>
        <w:gridCol w:w="1329"/>
        <w:gridCol w:w="684"/>
        <w:gridCol w:w="1319"/>
        <w:gridCol w:w="1182"/>
      </w:tblGrid>
      <w:tr w:rsidR="00D50B96" w:rsidTr="00D50B96">
        <w:tc>
          <w:tcPr>
            <w:tcW w:w="263" w:type="pct"/>
            <w:vMerge w:val="restart"/>
          </w:tcPr>
          <w:p w:rsidR="00D50B96" w:rsidRDefault="00D50B9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141" w:type="pct"/>
            <w:vMerge w:val="restart"/>
          </w:tcPr>
          <w:p w:rsidR="00D50B96" w:rsidRDefault="00D50B96">
            <w:pPr>
              <w:pStyle w:val="ConsPlusNormal"/>
              <w:jc w:val="center"/>
            </w:pPr>
            <w:r>
              <w:t>Наименование основного мероприятия муниципальной программы</w:t>
            </w:r>
          </w:p>
        </w:tc>
        <w:tc>
          <w:tcPr>
            <w:tcW w:w="595" w:type="pct"/>
            <w:vMerge w:val="restart"/>
          </w:tcPr>
          <w:p w:rsidR="00D50B96" w:rsidRDefault="00D50B96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744" w:type="pct"/>
            <w:gridSpan w:val="2"/>
          </w:tcPr>
          <w:p w:rsidR="00D50B96" w:rsidRDefault="00D50B96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46" w:type="pct"/>
            <w:vMerge w:val="restart"/>
          </w:tcPr>
          <w:p w:rsidR="00D50B96" w:rsidRDefault="00D50B96">
            <w:pPr>
              <w:pStyle w:val="ConsPlusNormal"/>
              <w:jc w:val="center"/>
            </w:pPr>
            <w:r>
              <w:t>Целевые показатели, шт.</w:t>
            </w:r>
          </w:p>
        </w:tc>
        <w:tc>
          <w:tcPr>
            <w:tcW w:w="1811" w:type="pct"/>
            <w:gridSpan w:val="4"/>
          </w:tcPr>
          <w:p w:rsidR="00D50B96" w:rsidRDefault="00D50B96">
            <w:pPr>
              <w:pStyle w:val="ConsPlusNormal"/>
              <w:jc w:val="center"/>
            </w:pPr>
            <w:r>
              <w:t>Объемы финансирования, тыс. руб.</w:t>
            </w:r>
          </w:p>
        </w:tc>
      </w:tr>
      <w:tr w:rsidR="00D50B96" w:rsidTr="00D50B96">
        <w:tc>
          <w:tcPr>
            <w:tcW w:w="263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595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  <w:jc w:val="center"/>
            </w:pPr>
            <w:r>
              <w:t>начала реализации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  <w:jc w:val="center"/>
            </w:pPr>
            <w:r>
              <w:t>окончания реализации</w:t>
            </w:r>
          </w:p>
        </w:tc>
        <w:tc>
          <w:tcPr>
            <w:tcW w:w="446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  <w:jc w:val="center"/>
            </w:pPr>
            <w:r>
              <w:t>2024 год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  <w:jc w:val="center"/>
            </w:pPr>
            <w:r>
              <w:t>10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Программная составляющая, всего</w:t>
            </w:r>
          </w:p>
        </w:tc>
        <w:tc>
          <w:tcPr>
            <w:tcW w:w="595" w:type="pct"/>
            <w:vMerge w:val="restar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  <w:vMerge w:val="restart"/>
          </w:tcPr>
          <w:p w:rsidR="00D50B96" w:rsidRDefault="00D50B96">
            <w:pPr>
              <w:pStyle w:val="ConsPlusNormal"/>
            </w:pPr>
            <w:r>
              <w:t>2022</w:t>
            </w:r>
          </w:p>
        </w:tc>
        <w:tc>
          <w:tcPr>
            <w:tcW w:w="372" w:type="pct"/>
            <w:vMerge w:val="restart"/>
          </w:tcPr>
          <w:p w:rsidR="00D50B96" w:rsidRDefault="00D50B96">
            <w:pPr>
              <w:pStyle w:val="ConsPlusNormal"/>
            </w:pPr>
            <w:r>
              <w:t>2024</w:t>
            </w:r>
          </w:p>
        </w:tc>
        <w:tc>
          <w:tcPr>
            <w:tcW w:w="446" w:type="pct"/>
            <w:vMerge w:val="restar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230142,91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217389,11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12753,80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в том числе:</w:t>
            </w:r>
          </w:p>
        </w:tc>
        <w:tc>
          <w:tcPr>
            <w:tcW w:w="595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1811" w:type="pct"/>
            <w:gridSpan w:val="4"/>
          </w:tcPr>
          <w:p w:rsidR="00D50B96" w:rsidRDefault="00D50B96">
            <w:pPr>
              <w:pStyle w:val="ConsPlusNormal"/>
            </w:pP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595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227500,00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215000,00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12500,00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595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2297,98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2171,72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126,26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595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  <w:vMerge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344,93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217,39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127,54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1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Основное мероприятие 1. Размещение архитектурной подсветки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118294,00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118294,00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1.1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proofErr w:type="gramStart"/>
            <w:r>
              <w:t xml:space="preserve">Размещение архитектурной подсветки на зданиях, расположенных на пл. Ленина, ул. Ленина, ул. </w:t>
            </w:r>
            <w:r>
              <w:lastRenderedPageBreak/>
              <w:t>Максима Горького, ул. Пролетарская гора в г. Орле</w:t>
            </w:r>
            <w:proofErr w:type="gramEnd"/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lastRenderedPageBreak/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7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40100,00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40100,00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Размещение архитектурной подсветки на зданиях, расположенных по ул. Максима Горького, ул. Ленина, ул. Тургенева в </w:t>
            </w:r>
            <w:proofErr w:type="gramStart"/>
            <w:r>
              <w:t>г</w:t>
            </w:r>
            <w:proofErr w:type="gramEnd"/>
            <w:r>
              <w:t>. Орле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22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67945,00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67945,00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1.3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Визуализация (концепция) на подсветку зданий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1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599,00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599,00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1.4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Размещение архитектурно-художественной подсветки объектов: "Мемориальный комплекс 400 лет городу Орлу", "ул. Ленина, д. 1"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2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9650,00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9650,00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в том числе: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811" w:type="pct"/>
            <w:gridSpan w:val="4"/>
          </w:tcPr>
          <w:p w:rsidR="00D50B96" w:rsidRDefault="00D50B96">
            <w:pPr>
              <w:pStyle w:val="ConsPlusNormal"/>
            </w:pP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116993,95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116993,95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средства областного </w:t>
            </w:r>
            <w:r>
              <w:lastRenderedPageBreak/>
              <w:t>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1181,76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1181,76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118,29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118,29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2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Основное мероприятие 2. Обустройство ориентирующих указателей, карт-схем, информационных конструкций и знаков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1687,28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1687,28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2.1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Информационные таблички для пешеходной навигации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20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1131,20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1131,20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2.2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Производство и установка информационных стоек навигации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5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556,08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556,08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в том числе: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811" w:type="pct"/>
            <w:gridSpan w:val="4"/>
          </w:tcPr>
          <w:p w:rsidR="00D50B96" w:rsidRDefault="00D50B96">
            <w:pPr>
              <w:pStyle w:val="ConsPlusNormal"/>
            </w:pP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1668,74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1668,74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16,86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16,86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1,69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1,69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Основное мероприятие 3. Формирование комфортной для пешеходов и туристов городской среды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77286,11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64694,61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12591,50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3.1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Дизайн, производство и установка световых консолей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134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10595,80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10595,80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3.2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Дизайн, производство и приобретение </w:t>
            </w:r>
            <w:proofErr w:type="spellStart"/>
            <w:r>
              <w:t>арт-объектов</w:t>
            </w:r>
            <w:proofErr w:type="spellEnd"/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2024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47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61308,12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52651,62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8656,50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3.3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Дизайн, производство и установка </w:t>
            </w:r>
            <w:proofErr w:type="spellStart"/>
            <w:r>
              <w:t>свето-декоративных</w:t>
            </w:r>
            <w:proofErr w:type="spellEnd"/>
            <w:r>
              <w:t xml:space="preserve"> арок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10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1447,19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1447,19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3.4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Приобретение городских скульптурных композиций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2024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2024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1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3345,00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3345,00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3.5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Установка </w:t>
            </w:r>
            <w:proofErr w:type="spellStart"/>
            <w:r>
              <w:t>арт-объектов</w:t>
            </w:r>
            <w:proofErr w:type="spellEnd"/>
            <w:r>
              <w:t xml:space="preserve"> и городских скульптурных композиций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2024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2024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7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590,00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590,00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в том числе: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811" w:type="pct"/>
            <w:gridSpan w:val="4"/>
          </w:tcPr>
          <w:p w:rsidR="00D50B96" w:rsidRDefault="00D50B96">
            <w:pPr>
              <w:pStyle w:val="ConsPlusNormal"/>
            </w:pP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средства федерального </w:t>
            </w:r>
            <w:r>
              <w:lastRenderedPageBreak/>
              <w:t>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76324,54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63983,61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12340,93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770,96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646,30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124,66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190,60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64,69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125,91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4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Основное мероприятие 4. Устройство уличной инфраструктуры для комфортного и безопасного передвижения лиц с ограниченными возможностями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285,00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285,00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4.1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Лестничный гусеничный подъемник для инвалидов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1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285,00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285,00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в том числе: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811" w:type="pct"/>
            <w:gridSpan w:val="4"/>
          </w:tcPr>
          <w:p w:rsidR="00D50B96" w:rsidRDefault="00D50B96">
            <w:pPr>
              <w:pStyle w:val="ConsPlusNormal"/>
            </w:pP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281,87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281,87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2,85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2,85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0,29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0,29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Основное мероприятие 5. Повышение уровня безопасности, санитарно-эпидемиологического и экологического благополучия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13793,75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13793,75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5.1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Производство и установка стоек экстренного вызова спецслужб (112)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3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3930,42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3930,42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5.2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Производство и установка общественных санузлов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1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9863,33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9863,33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в том числе: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811" w:type="pct"/>
            <w:gridSpan w:val="4"/>
          </w:tcPr>
          <w:p w:rsidR="00D50B96" w:rsidRDefault="00D50B96">
            <w:pPr>
              <w:pStyle w:val="ConsPlusNormal"/>
            </w:pP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13642,16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13642,16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137,80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137,80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13,79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13,79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6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Основное мероприятие 6. Обустройство </w:t>
            </w:r>
            <w:proofErr w:type="spellStart"/>
            <w:r>
              <w:t>фотозон</w:t>
            </w:r>
            <w:proofErr w:type="spellEnd"/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6848,38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6848,38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lastRenderedPageBreak/>
              <w:t>6.1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Дизайн, производство и установка </w:t>
            </w:r>
            <w:proofErr w:type="spellStart"/>
            <w:r>
              <w:t>фотозон</w:t>
            </w:r>
            <w:proofErr w:type="spellEnd"/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14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6848,38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6848,38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в том числе: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811" w:type="pct"/>
            <w:gridSpan w:val="4"/>
          </w:tcPr>
          <w:p w:rsidR="00D50B96" w:rsidRDefault="00D50B96">
            <w:pPr>
              <w:pStyle w:val="ConsPlusNormal"/>
            </w:pP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6773,11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6773,11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68,42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68,42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6,85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6,85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7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Основное мероприятие 7. Оснащение площадок и мест проведения праздничных городских ярмарок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11948,41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11786,10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162,31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7.1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Производство и установка мобильных нестационарных </w:t>
            </w:r>
            <w:proofErr w:type="spellStart"/>
            <w:r>
              <w:t>торгово-ярморочных</w:t>
            </w:r>
            <w:proofErr w:type="spellEnd"/>
            <w:r>
              <w:t xml:space="preserve"> павильонов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2024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34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3500,00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3500,00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t>7.2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 xml:space="preserve">Производство и установка мобильных стационарных некапитальных </w:t>
            </w:r>
            <w:r>
              <w:lastRenderedPageBreak/>
              <w:t>павильонов торговли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lastRenderedPageBreak/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2024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23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7432,64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7432,64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  <w:r>
              <w:lastRenderedPageBreak/>
              <w:t>7.3</w:t>
            </w: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Производство и приобретение уличной мебели и иного оборудования для проведения праздничных мероприятий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  <w:r>
              <w:t>МКУ "ОМЗ г. Орла"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2023</w:t>
            </w: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  <w:r>
              <w:t>2024</w:t>
            </w: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  <w:r>
              <w:t>208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1015,77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853,46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162,31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в том числе: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811" w:type="pct"/>
            <w:gridSpan w:val="4"/>
          </w:tcPr>
          <w:p w:rsidR="00D50B96" w:rsidRDefault="00D50B96">
            <w:pPr>
              <w:pStyle w:val="ConsPlusNormal"/>
            </w:pP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11815,65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11656,57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159,08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119,35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117,74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1,61</w:t>
            </w:r>
          </w:p>
        </w:tc>
      </w:tr>
      <w:tr w:rsidR="00D50B96" w:rsidTr="00D50B96">
        <w:tc>
          <w:tcPr>
            <w:tcW w:w="263" w:type="pct"/>
          </w:tcPr>
          <w:p w:rsidR="00D50B96" w:rsidRDefault="00D50B96">
            <w:pPr>
              <w:pStyle w:val="ConsPlusNormal"/>
            </w:pPr>
          </w:p>
        </w:tc>
        <w:tc>
          <w:tcPr>
            <w:tcW w:w="1141" w:type="pct"/>
          </w:tcPr>
          <w:p w:rsidR="00D50B96" w:rsidRDefault="00D50B96">
            <w:pPr>
              <w:pStyle w:val="ConsPlusNormal"/>
            </w:pPr>
            <w:r>
              <w:t>средства бюджета города Орла</w:t>
            </w:r>
          </w:p>
        </w:tc>
        <w:tc>
          <w:tcPr>
            <w:tcW w:w="595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372" w:type="pct"/>
          </w:tcPr>
          <w:p w:rsidR="00D50B96" w:rsidRDefault="00D50B96">
            <w:pPr>
              <w:pStyle w:val="ConsPlusNormal"/>
            </w:pPr>
          </w:p>
        </w:tc>
        <w:tc>
          <w:tcPr>
            <w:tcW w:w="446" w:type="pct"/>
          </w:tcPr>
          <w:p w:rsidR="00D50B96" w:rsidRDefault="00D50B96">
            <w:pPr>
              <w:pStyle w:val="ConsPlusNormal"/>
            </w:pP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13,41</w:t>
            </w:r>
          </w:p>
        </w:tc>
        <w:tc>
          <w:tcPr>
            <w:tcW w:w="298" w:type="pct"/>
          </w:tcPr>
          <w:p w:rsidR="00D50B96" w:rsidRDefault="00D50B96">
            <w:pPr>
              <w:pStyle w:val="ConsPlusNormal"/>
            </w:pPr>
            <w:r>
              <w:t>0,00</w:t>
            </w:r>
          </w:p>
        </w:tc>
        <w:tc>
          <w:tcPr>
            <w:tcW w:w="521" w:type="pct"/>
          </w:tcPr>
          <w:p w:rsidR="00D50B96" w:rsidRDefault="00D50B96">
            <w:pPr>
              <w:pStyle w:val="ConsPlusNormal"/>
            </w:pPr>
            <w:r>
              <w:t>11,79</w:t>
            </w:r>
          </w:p>
        </w:tc>
        <w:tc>
          <w:tcPr>
            <w:tcW w:w="471" w:type="pct"/>
          </w:tcPr>
          <w:p w:rsidR="00D50B96" w:rsidRDefault="00D50B96">
            <w:pPr>
              <w:pStyle w:val="ConsPlusNormal"/>
            </w:pPr>
            <w:r>
              <w:t>1,62</w:t>
            </w:r>
          </w:p>
        </w:tc>
      </w:tr>
    </w:tbl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ind w:firstLine="540"/>
        <w:jc w:val="both"/>
      </w:pPr>
    </w:p>
    <w:p w:rsidR="00D50B96" w:rsidRDefault="00D50B9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2F14" w:rsidRDefault="00112F14"/>
    <w:sectPr w:rsidR="00112F14" w:rsidSect="00991932">
      <w:pgSz w:w="16838" w:h="11905" w:orient="landscape"/>
      <w:pgMar w:top="1701" w:right="1134" w:bottom="850" w:left="1134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50B96"/>
    <w:rsid w:val="00112F14"/>
    <w:rsid w:val="00D5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B9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rsid w:val="00D50B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0B9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lang w:eastAsia="ru-RU"/>
    </w:rPr>
  </w:style>
  <w:style w:type="paragraph" w:customStyle="1" w:styleId="ConsPlusCell">
    <w:name w:val="ConsPlusCell"/>
    <w:rsid w:val="00D50B9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50B96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Page">
    <w:name w:val="ConsPlusTitlePage"/>
    <w:rsid w:val="00D50B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50B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50B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328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9952" TargetMode="External"/><Relationship Id="rId5" Type="http://schemas.openxmlformats.org/officeDocument/2006/relationships/hyperlink" Target="https://login.consultant.ru/link/?req=doc&amp;base=LAW&amp;n=49323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3295</Words>
  <Characters>18788</Characters>
  <Application>Microsoft Office Word</Application>
  <DocSecurity>0</DocSecurity>
  <Lines>156</Lines>
  <Paragraphs>44</Paragraphs>
  <ScaleCrop>false</ScaleCrop>
  <Company/>
  <LinksUpToDate>false</LinksUpToDate>
  <CharactersWithSpaces>22039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smeleva-iu</dc:creator>
  <cp:lastModifiedBy>smeleva-iu</cp:lastModifiedBy>
  <cp:revision>1</cp:revision>
  <dcterms:created xsi:type="dcterms:W3CDTF">2025-03-04T11:39:00Z</dcterms:created>
  <dcterms:modified xsi:type="dcterms:W3CDTF">2025-03-04T11:41:00Z</dcterms:modified>
</cp:coreProperties>
</file>