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6AE08" w14:textId="6562E2ED" w:rsidR="00BE2B0B" w:rsidRDefault="00BE2B0B" w:rsidP="00C83AB6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14:paraId="1DA8855A" w14:textId="77777777" w:rsidR="00BE2B0B" w:rsidRDefault="00BE2B0B" w:rsidP="00C83AB6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14:paraId="15851B23" w14:textId="6C1E2DA4" w:rsidR="00C708F4" w:rsidRPr="00BE2B0B" w:rsidRDefault="00C708F4" w:rsidP="00C83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0B"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</w:p>
    <w:p w14:paraId="2FE29C7D" w14:textId="6E8593D4" w:rsidR="00E70F31" w:rsidRPr="00BE2B0B" w:rsidRDefault="00E70F31" w:rsidP="00C83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0B">
        <w:rPr>
          <w:rFonts w:ascii="Times New Roman" w:hAnsi="Times New Roman" w:cs="Times New Roman"/>
          <w:b/>
          <w:sz w:val="24"/>
          <w:szCs w:val="24"/>
        </w:rPr>
        <w:t xml:space="preserve">действий инвестора по процедурам подключения </w:t>
      </w:r>
      <w:proofErr w:type="spellStart"/>
      <w:r w:rsidRPr="00BE2B0B">
        <w:rPr>
          <w:rFonts w:ascii="Times New Roman" w:hAnsi="Times New Roman" w:cs="Times New Roman"/>
          <w:b/>
          <w:sz w:val="24"/>
          <w:szCs w:val="24"/>
        </w:rPr>
        <w:t>энергопринимающих</w:t>
      </w:r>
      <w:proofErr w:type="spellEnd"/>
      <w:r w:rsidRPr="00BE2B0B">
        <w:rPr>
          <w:rFonts w:ascii="Times New Roman" w:hAnsi="Times New Roman" w:cs="Times New Roman"/>
          <w:b/>
          <w:sz w:val="24"/>
          <w:szCs w:val="24"/>
        </w:rPr>
        <w:t xml:space="preserve"> устройств к электрическим сетям </w:t>
      </w:r>
      <w:r w:rsidRPr="00BE2B0B">
        <w:rPr>
          <w:rFonts w:ascii="Times New Roman" w:hAnsi="Times New Roman" w:cs="Times New Roman"/>
          <w:b/>
          <w:sz w:val="24"/>
          <w:szCs w:val="24"/>
        </w:rPr>
        <w:br/>
        <w:t>(средний и крупный бизнес – свыше 150 кВт</w:t>
      </w:r>
      <w:r w:rsidR="005B3575" w:rsidRPr="00BE2B0B">
        <w:rPr>
          <w:rFonts w:ascii="Times New Roman" w:hAnsi="Times New Roman" w:cs="Times New Roman"/>
          <w:b/>
          <w:sz w:val="24"/>
          <w:szCs w:val="24"/>
        </w:rPr>
        <w:t>*</w:t>
      </w:r>
      <w:r w:rsidRPr="00BE2B0B">
        <w:rPr>
          <w:rFonts w:ascii="Times New Roman" w:hAnsi="Times New Roman" w:cs="Times New Roman"/>
          <w:b/>
          <w:sz w:val="24"/>
          <w:szCs w:val="24"/>
        </w:rPr>
        <w:t>)</w:t>
      </w:r>
    </w:p>
    <w:p w14:paraId="7D608F4C" w14:textId="77777777" w:rsidR="00C83AB6" w:rsidRPr="008D7EE8" w:rsidRDefault="00C83AB6" w:rsidP="00C83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1644"/>
        <w:gridCol w:w="1932"/>
        <w:gridCol w:w="1932"/>
        <w:gridCol w:w="1118"/>
        <w:gridCol w:w="2861"/>
        <w:gridCol w:w="1817"/>
        <w:gridCol w:w="1644"/>
        <w:gridCol w:w="2486"/>
      </w:tblGrid>
      <w:tr w:rsidR="008D7EE8" w:rsidRPr="008D7EE8" w14:paraId="457752B8" w14:textId="77777777" w:rsidTr="00BE2B0B">
        <w:tc>
          <w:tcPr>
            <w:tcW w:w="130" w:type="pct"/>
          </w:tcPr>
          <w:p w14:paraId="239A3F27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F75898A" w14:textId="77777777" w:rsidR="00C6349B" w:rsidRPr="008D7EE8" w:rsidRDefault="00C6349B" w:rsidP="00C7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8" w:type="pct"/>
            <w:vAlign w:val="center"/>
          </w:tcPr>
          <w:p w14:paraId="0B2A7330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Шаг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br/>
              <w:t>алгоритма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br/>
              <w:t>(Процедура)</w:t>
            </w:r>
          </w:p>
        </w:tc>
        <w:tc>
          <w:tcPr>
            <w:tcW w:w="609" w:type="pct"/>
            <w:vAlign w:val="center"/>
          </w:tcPr>
          <w:p w14:paraId="7691BC3F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4FEFA57C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фактический</w:t>
            </w:r>
          </w:p>
        </w:tc>
        <w:tc>
          <w:tcPr>
            <w:tcW w:w="609" w:type="pct"/>
            <w:vAlign w:val="center"/>
          </w:tcPr>
          <w:p w14:paraId="37AC75C4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Срок целевой</w:t>
            </w:r>
          </w:p>
        </w:tc>
        <w:tc>
          <w:tcPr>
            <w:tcW w:w="281" w:type="pct"/>
          </w:tcPr>
          <w:p w14:paraId="6E2EB35F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</w:t>
            </w:r>
          </w:p>
        </w:tc>
        <w:tc>
          <w:tcPr>
            <w:tcW w:w="947" w:type="pct"/>
            <w:vAlign w:val="center"/>
          </w:tcPr>
          <w:p w14:paraId="10A4352E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Входящие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документы</w:t>
            </w:r>
          </w:p>
        </w:tc>
        <w:tc>
          <w:tcPr>
            <w:tcW w:w="600" w:type="pct"/>
            <w:vAlign w:val="center"/>
          </w:tcPr>
          <w:p w14:paraId="0698EE52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Результирующие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документы</w:t>
            </w:r>
          </w:p>
        </w:tc>
        <w:tc>
          <w:tcPr>
            <w:tcW w:w="525" w:type="pct"/>
            <w:vAlign w:val="center"/>
          </w:tcPr>
          <w:p w14:paraId="33FB73A4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832" w:type="pct"/>
            <w:vAlign w:val="center"/>
          </w:tcPr>
          <w:p w14:paraId="509028BA" w14:textId="77777777" w:rsidR="00C6349B" w:rsidRPr="008D7EE8" w:rsidRDefault="00C6349B" w:rsidP="00C7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D7EE8" w:rsidRPr="008D7EE8" w14:paraId="503E58A0" w14:textId="77777777" w:rsidTr="00BE2B0B">
        <w:tc>
          <w:tcPr>
            <w:tcW w:w="130" w:type="pct"/>
          </w:tcPr>
          <w:p w14:paraId="0DAD2CF2" w14:textId="77777777" w:rsidR="00C6349B" w:rsidRPr="008D7EE8" w:rsidRDefault="00C6349B" w:rsidP="00C7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8" w:type="pct"/>
          </w:tcPr>
          <w:p w14:paraId="47A1FA0F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Подача заявки на технологическое присоединение, выдача и подп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сание договора технологического присоединения </w:t>
            </w:r>
          </w:p>
        </w:tc>
        <w:tc>
          <w:tcPr>
            <w:tcW w:w="609" w:type="pct"/>
          </w:tcPr>
          <w:p w14:paraId="2C02E97E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20 рабочих дней</w:t>
            </w:r>
          </w:p>
          <w:p w14:paraId="06C44AAA" w14:textId="77777777" w:rsidR="00CA27B5" w:rsidRPr="008D7EE8" w:rsidRDefault="00CA27B5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0FE9A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(возможно увелич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ние срока по иниц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ативе сетевой орг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низации при необх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димости согласов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ния технических условий с систе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ным оператором – в течение 3 рабочих дней после соглас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вания ТУ системным оператором)</w:t>
            </w:r>
          </w:p>
          <w:p w14:paraId="10E41F2F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CFB42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gram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ном проекте</w:t>
            </w:r>
            <w:proofErr w:type="gram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– в 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чение 3 рабочих дней после утве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ждения уполном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ченным органом платы</w:t>
            </w:r>
          </w:p>
        </w:tc>
        <w:tc>
          <w:tcPr>
            <w:tcW w:w="609" w:type="pct"/>
          </w:tcPr>
          <w:p w14:paraId="34BDCF09" w14:textId="77777777" w:rsidR="00890785" w:rsidRPr="008D7EE8" w:rsidRDefault="00890785" w:rsidP="00890785">
            <w:pPr>
              <w:jc w:val="both"/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15 рабочих дней</w:t>
            </w:r>
          </w:p>
          <w:p w14:paraId="02C81EC5" w14:textId="77777777" w:rsidR="00CA27B5" w:rsidRPr="008D7EE8" w:rsidRDefault="00CA27B5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11A52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(возможно увелич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ние срока по иниц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ативе сетевой орг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низации при необх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димости согласов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ния технических условий с систе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ным оператором – в течение 3 рабочих дней после соглас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вания ТУ системным оператором)</w:t>
            </w:r>
          </w:p>
          <w:p w14:paraId="0C6BA2D2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21368" w14:textId="77777777" w:rsidR="00C6349B" w:rsidRPr="008D7EE8" w:rsidRDefault="00C6349B" w:rsidP="00C708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gram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ном проекте</w:t>
            </w:r>
            <w:proofErr w:type="gram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– в 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чение 3 рабочих дней после утве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ждения уполном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ченным органом платы</w:t>
            </w:r>
          </w:p>
        </w:tc>
        <w:tc>
          <w:tcPr>
            <w:tcW w:w="281" w:type="pct"/>
          </w:tcPr>
          <w:p w14:paraId="1FBF2A57" w14:textId="77777777" w:rsidR="00C6349B" w:rsidRPr="008D7EE8" w:rsidRDefault="00C6349B" w:rsidP="00C7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7" w:type="pct"/>
          </w:tcPr>
          <w:p w14:paraId="03C80FDF" w14:textId="48A654A9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1. Заявка на технологическое присоединение</w:t>
            </w:r>
            <w:r w:rsidR="00AB6D19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157D55" w14:textId="260A334A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2. План расположения</w:t>
            </w:r>
            <w:r w:rsidR="00AB6D19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75FCDF" w14:textId="6F77D02A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3. Перечень и мощность устрой</w:t>
            </w:r>
            <w:proofErr w:type="gram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я присоединения к противоаварийной и режимной автоматике</w:t>
            </w:r>
            <w:r w:rsidR="00AB6D19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72CC6E" w14:textId="77777777" w:rsidR="00505C28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FD3F8A"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05C28" w:rsidRPr="008D7EE8">
              <w:rPr>
                <w:rFonts w:ascii="Times New Roman" w:hAnsi="Times New Roman" w:cs="Times New Roman"/>
                <w:sz w:val="20"/>
                <w:szCs w:val="20"/>
              </w:rPr>
              <w:t>дин из нижеследующих докуме</w:t>
            </w:r>
            <w:r w:rsidR="00FD3F8A" w:rsidRPr="008D7E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05C28" w:rsidRPr="008D7EE8">
              <w:rPr>
                <w:rFonts w:ascii="Times New Roman" w:hAnsi="Times New Roman" w:cs="Times New Roman"/>
                <w:sz w:val="20"/>
                <w:szCs w:val="20"/>
              </w:rPr>
              <w:t>тов:</w:t>
            </w:r>
          </w:p>
          <w:p w14:paraId="6019747F" w14:textId="7935564A" w:rsidR="00C6349B" w:rsidRPr="008D7EE8" w:rsidRDefault="00505C28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опии документов, подтве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ждающих владение заявителем на праве собственности или на ином предусмотренном зак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ном основании объектом кап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тального строительства (неж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лым помещением в таком об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екте капитального строител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ства) и (или) земельн</w:t>
            </w:r>
            <w:r w:rsidR="0046707D" w:rsidRPr="008D7EE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м учас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ком, на котором расположены (будут располагаться) </w:t>
            </w:r>
            <w:proofErr w:type="spellStart"/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принимающие</w:t>
            </w:r>
            <w:proofErr w:type="spellEnd"/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з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явителя;</w:t>
            </w:r>
          </w:p>
          <w:p w14:paraId="4B97127D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- копия разрешения на испол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зование земель или земельных участков, находящихся в гос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дарственной или муниципал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ной собственности, без пред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ставления земельных участков и установления сервитута, пу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личного сервитута в целях ра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мещения </w:t>
            </w:r>
            <w:proofErr w:type="spell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заявителя (с указан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ем сведений о границах 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пользуемой территории);</w:t>
            </w:r>
          </w:p>
          <w:p w14:paraId="7DAD23E4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- копии документов, подтве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ждающих, что заявитель обл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дает сервитутом или публи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ным сервитутом, которые уст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новлены в соответствии с гражданским законодател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ством Российской Федерации, земельным законодательством Российской Федерации и предусматривают возможность использования земельного участка для целей размещения </w:t>
            </w:r>
            <w:proofErr w:type="spell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заявителя (с указанием свед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ний о границах сервитута);</w:t>
            </w:r>
          </w:p>
          <w:p w14:paraId="7646E3E7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подачи заявки на основании </w:t>
            </w:r>
            <w:hyperlink r:id="rId8" w:history="1">
              <w:r w:rsidRPr="008D7EE8">
                <w:rPr>
                  <w:rFonts w:ascii="Times New Roman" w:hAnsi="Times New Roman" w:cs="Times New Roman"/>
                  <w:sz w:val="20"/>
                  <w:szCs w:val="20"/>
                </w:rPr>
                <w:t>пункта 8</w:t>
              </w:r>
              <w:r w:rsidRPr="008D7EE8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7</w:t>
              </w:r>
            </w:hyperlink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Правил ТП - копия договора о ко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плексном развитии территории, а также копии утвержденных в установленных порядке прое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та планировки территории комплексного развития, ко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плексной схемы инженерного обеспечения территории ко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плексного развития, схемы расположения земельного участка или земельных учас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ков на кадастровом плане те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ритории, градостроительного плана земельного участка;</w:t>
            </w:r>
            <w:proofErr w:type="gramEnd"/>
          </w:p>
          <w:p w14:paraId="18A1FB59" w14:textId="789187DA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- в случае подачи заявки на основании пункта 8</w:t>
            </w:r>
            <w:r w:rsidRPr="008D7E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8 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Правил ТП - копии решения о предвар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тельном согласовании пред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ставления земельного участка, утвержденного проекта меж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вания территории и (или) 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данного в соответствии с ч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стью 1.1 статьи 57.3 Град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строительного кодекса Росси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ской Федерации градостро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плана земельного 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 и утвержденной в соо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ветствии с земельным закон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дательством схемы располож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ния земельного участка или земельных участков на кадас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ровом плане территории (в случае</w:t>
            </w:r>
            <w:proofErr w:type="gram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подачи заявки юридич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ским лицом, созданным Ро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сийской Федерацией, субъе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том Российской Федерации или муниципальным образованием, иным юридическим лицом - также копии документов, по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тверждающих наличие основ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ний для подачи заявки в случ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ях, указанных в абзацах трет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ем и четвертом пункта 8</w:t>
            </w:r>
            <w:r w:rsidRPr="008D7E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8 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вил ТП)</w:t>
            </w:r>
            <w:r w:rsidR="00AB6D19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14:paraId="19344480" w14:textId="146DEB1D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5. Выписка из Единого гос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дарственного реестра юридич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ских лиц, Единого госуда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ственного реестра индивид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альных предпринимателей</w:t>
            </w:r>
            <w:r w:rsidR="00AB6D19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349AB3" w14:textId="00B039CA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6. Для особо крупных объектов (свыше 50 МВт) схема внешн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го электроснабжения</w:t>
            </w:r>
            <w:r w:rsidR="00AB6D19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1F8158" w14:textId="03A5BBA6" w:rsidR="009412C9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7. Однолинейная схема по 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тям 35 </w:t>
            </w:r>
            <w:proofErr w:type="spell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и выше с указанием возможности резервирования от собственных источников энергоснабжения</w:t>
            </w:r>
            <w:r w:rsidR="00AB6D19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0" w:type="pct"/>
          </w:tcPr>
          <w:p w14:paraId="29B1EF47" w14:textId="77777777" w:rsidR="00E320E3" w:rsidRPr="008D7EE8" w:rsidRDefault="00A45D8A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320E3" w:rsidRPr="008D7EE8">
              <w:rPr>
                <w:rFonts w:ascii="Times New Roman" w:hAnsi="Times New Roman" w:cs="Times New Roman"/>
                <w:sz w:val="20"/>
                <w:szCs w:val="20"/>
              </w:rPr>
              <w:t>. Проект договора об осуществлении</w:t>
            </w:r>
            <w:r w:rsidR="008619D7"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технологического присоединения</w:t>
            </w:r>
          </w:p>
          <w:p w14:paraId="2A353642" w14:textId="77777777" w:rsidR="00A45D8A" w:rsidRPr="008D7EE8" w:rsidRDefault="00A45D8A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F560C" w14:textId="77777777" w:rsidR="00A45D8A" w:rsidRPr="008D7EE8" w:rsidRDefault="00A45D8A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При отсутствии сведений и док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ментов, указанных в пунктах 9, 10, 12 Правил ТП, сет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вая организация не позднее 3 рабочих дней со дня получ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ния заявки напра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ляет заявителю уведомление, с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держащее указание на сведения (док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менты), которые в соответствии с Правилами ТП должны быть представлены з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явителем в допо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нение к предста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ленным сведениям (документам), а также указание на необходимость их представления в течение 20 рабочих дней</w:t>
            </w:r>
            <w:proofErr w:type="gramEnd"/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получ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ния указанного ув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домления. При этом сетевая о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ганизация пр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останавливает рассмотрение з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явки до получения недостающих св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дений и докуме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D7EE8">
              <w:rPr>
                <w:rFonts w:ascii="Times New Roman" w:hAnsi="Times New Roman" w:cs="Times New Roman"/>
                <w:i/>
                <w:sz w:val="20"/>
                <w:szCs w:val="20"/>
              </w:rPr>
              <w:t>тов</w:t>
            </w:r>
          </w:p>
        </w:tc>
        <w:tc>
          <w:tcPr>
            <w:tcW w:w="525" w:type="pct"/>
          </w:tcPr>
          <w:p w14:paraId="0844DC8F" w14:textId="12311912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Пункты 9, </w:t>
            </w:r>
            <w:r w:rsidR="00FC3E67"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10, 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C3E67" w:rsidRPr="008D7EE8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Правил техн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логического пр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соединения, утвержденных постановлением Правительства Российской Ф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дерации от 27 декабря 2004 г</w:t>
            </w:r>
            <w:r w:rsidR="00BE695D" w:rsidRPr="008D7EE8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№ 861 (д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лее – Правила ТП)</w:t>
            </w:r>
          </w:p>
        </w:tc>
        <w:tc>
          <w:tcPr>
            <w:tcW w:w="832" w:type="pct"/>
          </w:tcPr>
          <w:p w14:paraId="54CE1764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 целях определения надлежащей сетевой орг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низации, в которую подл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жит направлению заявка, заявитель вправе напр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вить запрос в орган мес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ного самоуправления, на территории которого ра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положены соответству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щие объекты электросет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вого хозяйства, с указан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ем расположения объектов электросетевого хозяйства, принадлежность которых необходимо определить, а орган местного самоупра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ления обязан предоставить заявителю в течение 15 дней информацию о пр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надлежности указанных в запросе объектов электр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сетевого хозяйства</w:t>
            </w:r>
            <w:r w:rsidR="00CA27B5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14:paraId="01642F13" w14:textId="77777777" w:rsidR="00FC3E67" w:rsidRPr="008D7EE8" w:rsidRDefault="00FC3E67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Соблюдение фактических сроков обеспечивается 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ганизацией взаимоде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ствия в электронном виде с использованием сайта 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тевой организации и нал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живанием информацио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ного обмена между сет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выми организациями и г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рантирующими поставщ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ками.</w:t>
            </w:r>
          </w:p>
          <w:p w14:paraId="7B6E93E9" w14:textId="77777777" w:rsidR="00FC3E67" w:rsidRPr="008D7EE8" w:rsidRDefault="00FC3E67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Пересмотр целевых сроков для субъектов среднего и крупного бизнеса возм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жен при условии сокращ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ния сроков утверждения платы органами исполн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тельной власти субъекта Российской Федерации.</w:t>
            </w:r>
          </w:p>
          <w:p w14:paraId="5C2D51B2" w14:textId="77777777" w:rsidR="00FC3E67" w:rsidRPr="008D7EE8" w:rsidRDefault="00FC3E67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Справочно:</w:t>
            </w:r>
          </w:p>
          <w:p w14:paraId="51A40F60" w14:textId="77777777" w:rsidR="00FC3E67" w:rsidRPr="008D7EE8" w:rsidRDefault="00FC3E67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исполнительной власти субъекта Российской Ф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дерации в области госуда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ственного регулирования тарифов утверждает плату за технологическое прис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единение по </w:t>
            </w:r>
            <w:proofErr w:type="gram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ному проекту</w:t>
            </w:r>
            <w:proofErr w:type="gram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с разбивкой стоимости по каждому м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роприятию, необходимому для осуществления техн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логического присоедин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ния по индивидуальному проекту, в течение 30 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бочих дней со дня посту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ления заявления об уст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новлении платы.</w:t>
            </w:r>
          </w:p>
          <w:p w14:paraId="1DEEBD6E" w14:textId="009B740D" w:rsidR="00FC3E67" w:rsidRPr="008D7EE8" w:rsidRDefault="00FC3E67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 случае если технические условия подлежат соглас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ванию с соответствующим субъектом оперативно-диспетчерского управл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ния, срок утверждения платы за технологическое присоединение по </w:t>
            </w:r>
            <w:proofErr w:type="gram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дуальному проекту</w:t>
            </w:r>
            <w:proofErr w:type="gram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уст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навливается уполномоче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ным органом исполнител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ной власти субъекта Ро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сийской Федерации в обл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сти государственного рег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лирования тарифов. При этом указанный срок не может превышать </w:t>
            </w:r>
            <w:r w:rsidR="00BE695D" w:rsidRPr="008D7E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 рабочих дней.</w:t>
            </w:r>
          </w:p>
          <w:p w14:paraId="6AE5D97C" w14:textId="77777777" w:rsidR="00FC3E67" w:rsidRPr="008D7EE8" w:rsidRDefault="00FC3E67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Повышению удобства п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дачи заявки будет спосо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ствовать реализация сл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дующих мероприятий:</w:t>
            </w:r>
          </w:p>
          <w:p w14:paraId="0ED5508D" w14:textId="77777777" w:rsidR="00FC3E67" w:rsidRPr="008D7EE8" w:rsidRDefault="00FC3E67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1. Обеспечено автоматич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ское предоставление сет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вой организации информ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ции, подлежащей указанию инвестором в заявке, из государственных инфо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мационных систем.</w:t>
            </w:r>
          </w:p>
          <w:p w14:paraId="287FF748" w14:textId="081C8ACD" w:rsidR="00FC3E67" w:rsidRPr="008D7EE8" w:rsidRDefault="00FC3E67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2. Интеграция информац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онных систем сетевых 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ганизаций с инфраструкт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рой Единой системы иде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тификац</w:t>
            </w:r>
            <w:proofErr w:type="gram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ии и ау</w:t>
            </w:r>
            <w:proofErr w:type="gram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тентифик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="00AB6D19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7EE8" w:rsidRPr="008D7EE8" w14:paraId="377166BD" w14:textId="77777777" w:rsidTr="00BE2B0B">
        <w:tc>
          <w:tcPr>
            <w:tcW w:w="130" w:type="pct"/>
          </w:tcPr>
          <w:p w14:paraId="02DAD94E" w14:textId="77777777" w:rsidR="00C6349B" w:rsidRPr="008D7EE8" w:rsidRDefault="00452F05" w:rsidP="00C7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6349B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8" w:type="pct"/>
          </w:tcPr>
          <w:p w14:paraId="20CF3D62" w14:textId="77777777" w:rsidR="00C6349B" w:rsidRPr="008D7EE8" w:rsidRDefault="000516C5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Выполнение строительных работ и оконч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тельное подкл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r w:rsidR="00412790" w:rsidRPr="008D7EE8">
              <w:rPr>
                <w:rFonts w:ascii="Times New Roman" w:hAnsi="Times New Roman" w:cs="Times New Roman"/>
                <w:sz w:val="20"/>
                <w:szCs w:val="20"/>
              </w:rPr>
              <w:t>, заключ</w:t>
            </w:r>
            <w:r w:rsidR="00412790"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12790" w:rsidRPr="008D7EE8">
              <w:rPr>
                <w:rFonts w:ascii="Times New Roman" w:hAnsi="Times New Roman" w:cs="Times New Roman"/>
                <w:sz w:val="20"/>
                <w:szCs w:val="20"/>
              </w:rPr>
              <w:t>ние договора энергоснабжения</w:t>
            </w:r>
          </w:p>
        </w:tc>
        <w:tc>
          <w:tcPr>
            <w:tcW w:w="609" w:type="pct"/>
          </w:tcPr>
          <w:p w14:paraId="4972AD59" w14:textId="77777777" w:rsidR="00505C28" w:rsidRPr="008D7EE8" w:rsidRDefault="00537F70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Предельные норм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тивные сроки - от 4 месяцев д</w:t>
            </w:r>
            <w:r w:rsidR="00064B64" w:rsidRPr="008D7EE8">
              <w:rPr>
                <w:rFonts w:ascii="Times New Roman" w:hAnsi="Times New Roman" w:cs="Times New Roman"/>
                <w:sz w:val="20"/>
                <w:szCs w:val="20"/>
              </w:rPr>
              <w:t>о 2 лет</w:t>
            </w:r>
          </w:p>
          <w:p w14:paraId="4F710A85" w14:textId="77777777" w:rsidR="00064B64" w:rsidRPr="008D7EE8" w:rsidRDefault="00064B64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D6C54" w14:textId="77777777" w:rsidR="00064B64" w:rsidRPr="008D7EE8" w:rsidRDefault="00064B64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(возможно продл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ние до 4 лет по 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ращению заявителя)</w:t>
            </w:r>
          </w:p>
          <w:p w14:paraId="1E21AE74" w14:textId="77777777" w:rsidR="00505C28" w:rsidRPr="008D7EE8" w:rsidRDefault="00505C28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E6D1D" w14:textId="77777777" w:rsidR="00064B64" w:rsidRPr="008D7EE8" w:rsidRDefault="00064B64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CA443" w14:textId="77777777" w:rsidR="0065293B" w:rsidRPr="008D7EE8" w:rsidRDefault="00A45D8A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Для заявителей, ма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симальная мощность </w:t>
            </w:r>
            <w:proofErr w:type="spell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которых 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составляет не менее 670 кВт, по иници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тиве (обращению) заявителя договором могут быть устано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лены иные сроки (но не более 4 лет).</w:t>
            </w:r>
          </w:p>
          <w:p w14:paraId="6AD6770D" w14:textId="77777777" w:rsidR="00C6349B" w:rsidRPr="008D7EE8" w:rsidRDefault="00A45D8A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 случае заключения сетевой организац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ей договора со смежной сетевой организацией срок осуществления м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роприятий по техн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логическому прис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единению определ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ется в порядке, уст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новленном Прав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лами ТП.</w:t>
            </w:r>
          </w:p>
          <w:p w14:paraId="40A23053" w14:textId="77777777" w:rsidR="00A45D8A" w:rsidRPr="008D7EE8" w:rsidRDefault="00A45D8A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4AAB5" w14:textId="77777777" w:rsidR="00A45D8A" w:rsidRPr="008D7EE8" w:rsidRDefault="00A45D8A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Договором, закл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ченным на основ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нии заявки, пода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ной в соответствии с пунктом 8</w:t>
            </w:r>
            <w:r w:rsidRPr="008D7E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Правил ТП, на основании определенных в 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говоре о комплек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ном развитии терр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тории этапов и ма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симальных сроков осуществления строительства, 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конструкции объе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тов капитального строительства могут быть установлены </w:t>
            </w:r>
            <w:r w:rsidR="00505C28" w:rsidRPr="008D7EE8">
              <w:rPr>
                <w:rFonts w:ascii="Times New Roman" w:hAnsi="Times New Roman" w:cs="Times New Roman"/>
                <w:sz w:val="20"/>
                <w:szCs w:val="20"/>
              </w:rPr>
              <w:t>более продолж</w:t>
            </w:r>
            <w:r w:rsidR="00505C28"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05C28" w:rsidRPr="008D7EE8">
              <w:rPr>
                <w:rFonts w:ascii="Times New Roman" w:hAnsi="Times New Roman" w:cs="Times New Roman"/>
                <w:sz w:val="20"/>
                <w:szCs w:val="20"/>
              </w:rPr>
              <w:t>тельные сроки</w:t>
            </w:r>
          </w:p>
          <w:p w14:paraId="7EB5B153" w14:textId="77777777" w:rsidR="00EB33DC" w:rsidRPr="008D7EE8" w:rsidRDefault="00EB33DC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0B99C" w14:textId="77777777" w:rsidR="00C074D8" w:rsidRPr="008D7EE8" w:rsidRDefault="00C074D8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D6445" w14:textId="77777777" w:rsidR="00EB33DC" w:rsidRPr="008D7EE8" w:rsidRDefault="00EB33DC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Договором, пред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сматривающим п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этапное осуществл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мероприятий по технологическому присоединению, могут быть устано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  <w:r w:rsidR="00505C28"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более продо</w:t>
            </w:r>
            <w:r w:rsidR="00505C28" w:rsidRPr="008D7EE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05C28"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жительные </w:t>
            </w:r>
            <w:r w:rsidR="00064B64" w:rsidRPr="008D7EE8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  <w:r w:rsidR="00505C28" w:rsidRPr="008D7E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учитывающие соо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ветствующие этапы и их продолжител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ность, которые определяются на основании</w:t>
            </w:r>
            <w:r w:rsidR="00505C28"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B64" w:rsidRPr="008D7EE8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="00064B64"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4B64" w:rsidRPr="008D7EE8">
              <w:rPr>
                <w:rFonts w:ascii="Times New Roman" w:hAnsi="Times New Roman" w:cs="Times New Roman"/>
                <w:sz w:val="20"/>
                <w:szCs w:val="20"/>
              </w:rPr>
              <w:t>ставленных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док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ментов</w:t>
            </w:r>
            <w:r w:rsidR="00505C28"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</w:t>
            </w:r>
            <w:r w:rsidR="00505C28" w:rsidRPr="008D7E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05C28" w:rsidRPr="008D7EE8">
              <w:rPr>
                <w:rFonts w:ascii="Times New Roman" w:hAnsi="Times New Roman" w:cs="Times New Roman"/>
                <w:sz w:val="20"/>
                <w:szCs w:val="20"/>
              </w:rPr>
              <w:t>ствии с Правилами ТП</w:t>
            </w:r>
          </w:p>
        </w:tc>
        <w:tc>
          <w:tcPr>
            <w:tcW w:w="609" w:type="pct"/>
          </w:tcPr>
          <w:p w14:paraId="44BC99A9" w14:textId="17D1275A" w:rsidR="003B67E0" w:rsidRPr="008D7EE8" w:rsidRDefault="003B67E0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Предельные норм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тивные сроки - от 4 месяцев до </w:t>
            </w:r>
            <w:r w:rsidR="00890785" w:rsidRPr="008D7EE8">
              <w:rPr>
                <w:rFonts w:ascii="Times New Roman" w:hAnsi="Times New Roman" w:cs="Times New Roman"/>
                <w:sz w:val="20"/>
                <w:szCs w:val="20"/>
              </w:rPr>
              <w:t>21 мес</w:t>
            </w:r>
            <w:r w:rsidR="00890785" w:rsidRPr="008D7EE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90785" w:rsidRPr="008D7EE8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</w:p>
          <w:p w14:paraId="125FC622" w14:textId="77777777" w:rsidR="00064B64" w:rsidRPr="008D7EE8" w:rsidRDefault="00064B64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0C2BD" w14:textId="77777777" w:rsidR="0065293B" w:rsidRPr="008D7EE8" w:rsidRDefault="00064B64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Для заявителей, ма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симальная мощность </w:t>
            </w:r>
            <w:proofErr w:type="spell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которых составляет не менее 670 кВт, по иници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тиве (обращению) заявителя договором 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быть устано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лены иные сроки (но не более 4 лет).</w:t>
            </w:r>
          </w:p>
          <w:p w14:paraId="727BDC4C" w14:textId="77777777" w:rsidR="00064B64" w:rsidRPr="008D7EE8" w:rsidRDefault="0065293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 случае заключения сетевой организац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ей договора со смежной сетевой организацией срок осуществления м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роприятий по техн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логическому прис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единению определ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ется в порядке, уст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новленном Прав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лами ТП.</w:t>
            </w:r>
          </w:p>
          <w:p w14:paraId="14BF3165" w14:textId="77777777" w:rsidR="00064B64" w:rsidRPr="008D7EE8" w:rsidRDefault="00064B64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6A4D2" w14:textId="77777777" w:rsidR="00064B64" w:rsidRPr="008D7EE8" w:rsidRDefault="00064B64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Договором, закл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ченным на основ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нии заявки, пода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ной в соответствии с пунктом 8</w:t>
            </w:r>
            <w:r w:rsidRPr="008D7E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Правил ТП, на основании определенных в 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говоре о комплек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ном развитии терр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тории этапов и ма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симальных сроков осуществления строительства, 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конструкции объе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тов капитального строительства могут быть установлены более продолж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тельные сроки</w:t>
            </w:r>
          </w:p>
          <w:p w14:paraId="167DB773" w14:textId="77777777" w:rsidR="00064B64" w:rsidRPr="008D7EE8" w:rsidRDefault="00064B64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3823A" w14:textId="77777777" w:rsidR="00EC76B9" w:rsidRPr="008D7EE8" w:rsidRDefault="00EC76B9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7E7E6" w14:textId="77777777" w:rsidR="00C6349B" w:rsidRPr="008D7EE8" w:rsidRDefault="00064B64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Договором, пред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сматривающим п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этапное осуществл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ние мероприятий по технологическому присоединению, могут быть устано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лены более продо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жительные сроки, учитывающие соо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ветствующие этапы и их продолжител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ность, которые определяются на основании пред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ставленных док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ментов в соотве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ствии с Правилами ТП</w:t>
            </w:r>
          </w:p>
        </w:tc>
        <w:tc>
          <w:tcPr>
            <w:tcW w:w="281" w:type="pct"/>
          </w:tcPr>
          <w:p w14:paraId="54E85412" w14:textId="77777777" w:rsidR="00505C28" w:rsidRPr="008D7EE8" w:rsidRDefault="00E32A5C" w:rsidP="00C70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7" w:type="pct"/>
          </w:tcPr>
          <w:p w14:paraId="6FEE1792" w14:textId="77777777" w:rsidR="00C6349B" w:rsidRPr="008D7EE8" w:rsidRDefault="00505C28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12790" w:rsidRPr="008D7EE8">
              <w:rPr>
                <w:rFonts w:ascii="Times New Roman" w:hAnsi="Times New Roman" w:cs="Times New Roman"/>
                <w:sz w:val="20"/>
                <w:szCs w:val="20"/>
              </w:rPr>
              <w:t>ведомление о выполнении технических условий с ко</w:t>
            </w:r>
            <w:r w:rsidR="00412790" w:rsidRPr="008D7E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12790" w:rsidRPr="008D7EE8">
              <w:rPr>
                <w:rFonts w:ascii="Times New Roman" w:hAnsi="Times New Roman" w:cs="Times New Roman"/>
                <w:sz w:val="20"/>
                <w:szCs w:val="20"/>
              </w:rPr>
              <w:t>плектом документов</w:t>
            </w:r>
          </w:p>
        </w:tc>
        <w:tc>
          <w:tcPr>
            <w:tcW w:w="600" w:type="pct"/>
          </w:tcPr>
          <w:p w14:paraId="1C0B1E7F" w14:textId="4A7A79C6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Договор энерг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снабжения (при осуществлении параллельного з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ключения (до 6</w:t>
            </w:r>
            <w:r w:rsidR="00337925" w:rsidRPr="008D7EE8">
              <w:rPr>
                <w:rFonts w:ascii="Times New Roman" w:hAnsi="Times New Roman" w:cs="Times New Roman"/>
                <w:sz w:val="20"/>
                <w:szCs w:val="20"/>
              </w:rPr>
              <w:t>70 кВт – в обязател</w:t>
            </w:r>
            <w:r w:rsidR="00337925" w:rsidRPr="008D7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37925" w:rsidRPr="008D7EE8">
              <w:rPr>
                <w:rFonts w:ascii="Times New Roman" w:hAnsi="Times New Roman" w:cs="Times New Roman"/>
                <w:sz w:val="20"/>
                <w:szCs w:val="20"/>
              </w:rPr>
              <w:t>ном порядке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95365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14:paraId="719DBBAF" w14:textId="3F0CB850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2. Акт о выполн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нии технических условий</w:t>
            </w:r>
            <w:r w:rsidR="00F95365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3628B4" w14:textId="4DCDFC9C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3. Акт допуска прибора учета в эксплуатацию</w:t>
            </w:r>
            <w:r w:rsidR="00F95365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C44C3E" w14:textId="064D5A06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Акт об ос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ществлении техн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логического прис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единения</w:t>
            </w:r>
            <w:r w:rsidR="00F95365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ADD1F9" w14:textId="60834AC1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5. Акт согласов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ния технологич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ской и (или) ав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рийной брони (при необходимости)</w:t>
            </w:r>
            <w:r w:rsidR="00F95365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675D0337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</w:t>
            </w:r>
            <w:r w:rsidR="00864CE1" w:rsidRPr="008D7EE8">
              <w:rPr>
                <w:rFonts w:ascii="Times New Roman" w:hAnsi="Times New Roman" w:cs="Times New Roman"/>
                <w:sz w:val="20"/>
                <w:szCs w:val="20"/>
              </w:rPr>
              <w:t>нкт «г» пункта 7, пункты 18, 18</w:t>
            </w:r>
            <w:r w:rsidRPr="008D7E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, 85, 86,</w:t>
            </w:r>
            <w:r w:rsidR="00505C28"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88,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93 Правил ТП</w:t>
            </w:r>
          </w:p>
        </w:tc>
        <w:tc>
          <w:tcPr>
            <w:tcW w:w="832" w:type="pct"/>
          </w:tcPr>
          <w:p w14:paraId="765132F0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Соблюдению нормативных сроков реализации по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ключения способствует исполнение следующих мероприятий:</w:t>
            </w:r>
          </w:p>
          <w:p w14:paraId="241C18DA" w14:textId="098BE7DD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31169" w:rsidRPr="008D7E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 сайте сетевых орг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низаций обеспечено нал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чие информации по це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трам питания с указанием объема свободной для те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нологического присоед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нения мощности (подпункт «г» пункта 19 Стандартов 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раскрытия информации, утвержденных постановл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нием Правительства Ро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сийской Федерации от 21 января 2004 г</w:t>
            </w:r>
            <w:r w:rsidR="00BE695D" w:rsidRPr="008D7EE8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 № 24 «Об утверждении стандартов раскрытия информации субъектами оптового и розничных рынков эле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трической энергии»).</w:t>
            </w:r>
          </w:p>
          <w:p w14:paraId="64F219D1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2. Органами исполнител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ной власти субъекта Ро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сийской Федерации для целей реализации инвест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ционных проектов пред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ставляются земельные участки, не требующие значительного объема 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тевого строительства.</w:t>
            </w:r>
          </w:p>
          <w:p w14:paraId="36D550BA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3. Инвестором с сетевой организацией заключен договор «Технологическое присоединение под ключ», работы на стороне заявит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ля также выполняются 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тевой организацией.</w:t>
            </w:r>
          </w:p>
          <w:p w14:paraId="3086B554" w14:textId="77777777" w:rsidR="00505C28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Пересмотр целевых сроков возможен после реализ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ции следующих меропри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тий: </w:t>
            </w:r>
          </w:p>
          <w:p w14:paraId="3AE7357A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1. Сокращение сроков оформления прав на з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мельные участки.</w:t>
            </w:r>
          </w:p>
          <w:p w14:paraId="52FB5A9E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2. Сетевым организациям обеспечен доступ к след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ющим информационным системам:</w:t>
            </w:r>
          </w:p>
          <w:p w14:paraId="0FD03C50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а) Федеральной госуда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ственной информационной системе «Единый госуда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ственный реестр недвиж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мости» Федеральной слу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бы государственной рег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страции, кадастра и карт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графии </w:t>
            </w:r>
          </w:p>
          <w:p w14:paraId="42A68588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) с возможн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стью бесплатного получ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ния выписок об объектах недвижимости из ЕГРН;</w:t>
            </w:r>
          </w:p>
          <w:p w14:paraId="095D7C4A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б) Информационной 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стеме, содержащей свед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ния о заключенных дог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ворах аренды земельных участков (краткосрочных и долгосрочных), сведения об </w:t>
            </w:r>
            <w:proofErr w:type="spell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имущественно</w:t>
            </w:r>
            <w:proofErr w:type="spell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-правовом статусе земел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ных участков;</w:t>
            </w:r>
          </w:p>
          <w:p w14:paraId="6275DA1A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в) Информационной 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стеме, содержащей свед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ния отдела геолого-геодезической службы и отдела подземных соор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жений.</w:t>
            </w:r>
          </w:p>
          <w:p w14:paraId="5E3D12A0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3. Обеспечена возможность осуществления сверки 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тей с владельцами инж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нерных коммуникаций в рамках «одного окна».</w:t>
            </w:r>
          </w:p>
          <w:p w14:paraId="680075A4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4. Сокращение сроков п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лучения актуальных мат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риалов </w:t>
            </w:r>
            <w:proofErr w:type="spellStart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топосъемки</w:t>
            </w:r>
            <w:proofErr w:type="spellEnd"/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ADF588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5. Уменьшение срока пр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ведения торгово-закупочных процедур.</w:t>
            </w:r>
          </w:p>
          <w:p w14:paraId="50B16442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6. Обеспечение органами исполнительной власти субъекта Российской Ф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дерации возможности 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тевых организаций ос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ществлять оформление исходно-разрешительной и согласование проектной документации в режиме «одного окна» в течение 10 рабочих дней.</w:t>
            </w:r>
          </w:p>
          <w:p w14:paraId="40600993" w14:textId="0E3C3E76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7. Исключение обязанн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сти сетевой организации по 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проведению мероприятий по лесоразведению после выполнения строительно-монтажных работ, а также выполнения мероприятий по агротехническому уходу в течение </w:t>
            </w:r>
            <w:r w:rsidR="0046707D" w:rsidRPr="008D7E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8 лет.</w:t>
            </w:r>
          </w:p>
          <w:p w14:paraId="3F5C1ED3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8. Введение уведомител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ного порядка оформления ордера (разрешения) на производство земляных работ, установку време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ных ограждений и разм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щение временных объе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тов.</w:t>
            </w:r>
          </w:p>
          <w:p w14:paraId="4C175700" w14:textId="77777777" w:rsidR="00C6349B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9. Обеспечена компенсация экономически обоснова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ных расходов сетевой о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ганизации, не включаемых в плату за технологическое присоединение.</w:t>
            </w:r>
          </w:p>
          <w:p w14:paraId="36716661" w14:textId="27D7BF42" w:rsidR="0014441C" w:rsidRPr="008D7EE8" w:rsidRDefault="00C6349B" w:rsidP="00C7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10. Сокращен срок получ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ния необходимых разр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EE8">
              <w:rPr>
                <w:rFonts w:ascii="Times New Roman" w:hAnsi="Times New Roman" w:cs="Times New Roman"/>
                <w:sz w:val="20"/>
                <w:szCs w:val="20"/>
              </w:rPr>
              <w:t xml:space="preserve">шений </w:t>
            </w:r>
            <w:proofErr w:type="spellStart"/>
            <w:r w:rsidR="008619D7" w:rsidRPr="008D7EE8">
              <w:rPr>
                <w:rFonts w:ascii="Times New Roman" w:hAnsi="Times New Roman" w:cs="Times New Roman"/>
                <w:sz w:val="20"/>
                <w:szCs w:val="20"/>
              </w:rPr>
              <w:t>Ростехнадзора</w:t>
            </w:r>
            <w:proofErr w:type="spellEnd"/>
            <w:r w:rsidR="00F95365" w:rsidRPr="008D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47F2FCA" w14:textId="2B2502EE" w:rsidR="005B3575" w:rsidRPr="008D7EE8" w:rsidRDefault="00C708F4" w:rsidP="00C8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EE8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  <w:r w:rsidR="005B3575" w:rsidRPr="008D7EE8">
        <w:rPr>
          <w:rFonts w:ascii="Times New Roman" w:hAnsi="Times New Roman" w:cs="Times New Roman"/>
          <w:sz w:val="24"/>
          <w:szCs w:val="24"/>
        </w:rPr>
        <w:t>* в представленном алгоритме указаны процедуры без учета особенностей для групп заявителей, осуществляющих технологическое присоединение на временной основе, смежных сетевых организаций</w:t>
      </w:r>
      <w:r w:rsidR="004F5390" w:rsidRPr="008D7EE8">
        <w:rPr>
          <w:rFonts w:ascii="Times New Roman" w:hAnsi="Times New Roman" w:cs="Times New Roman"/>
          <w:sz w:val="24"/>
          <w:szCs w:val="24"/>
        </w:rPr>
        <w:t xml:space="preserve"> и</w:t>
      </w:r>
      <w:r w:rsidR="00412790" w:rsidRPr="008D7EE8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667250" w:rsidRPr="008D7EE8"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</w:t>
      </w:r>
      <w:r w:rsidR="00DF68A5" w:rsidRPr="008D7EE8">
        <w:rPr>
          <w:rFonts w:ascii="Times New Roman" w:hAnsi="Times New Roman" w:cs="Times New Roman"/>
          <w:sz w:val="24"/>
          <w:szCs w:val="24"/>
        </w:rPr>
        <w:t>я</w:t>
      </w:r>
      <w:r w:rsidR="00667250" w:rsidRPr="008D7EE8">
        <w:rPr>
          <w:rFonts w:ascii="Times New Roman" w:hAnsi="Times New Roman" w:cs="Times New Roman"/>
          <w:sz w:val="24"/>
          <w:szCs w:val="24"/>
        </w:rPr>
        <w:t xml:space="preserve"> по</w:t>
      </w:r>
      <w:r w:rsidR="00412790" w:rsidRPr="008D7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790" w:rsidRPr="008D7EE8">
        <w:rPr>
          <w:rFonts w:ascii="Times New Roman" w:hAnsi="Times New Roman" w:cs="Times New Roman"/>
          <w:sz w:val="24"/>
          <w:szCs w:val="24"/>
        </w:rPr>
        <w:t>индивид</w:t>
      </w:r>
      <w:r w:rsidR="00667250" w:rsidRPr="008D7EE8">
        <w:rPr>
          <w:rFonts w:ascii="Times New Roman" w:hAnsi="Times New Roman" w:cs="Times New Roman"/>
          <w:sz w:val="24"/>
          <w:szCs w:val="24"/>
        </w:rPr>
        <w:t>уальному</w:t>
      </w:r>
      <w:r w:rsidR="00412790" w:rsidRPr="008D7EE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67250" w:rsidRPr="008D7EE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12790" w:rsidRPr="008D7EE8">
        <w:rPr>
          <w:rFonts w:ascii="Times New Roman" w:hAnsi="Times New Roman" w:cs="Times New Roman"/>
          <w:sz w:val="24"/>
          <w:szCs w:val="24"/>
        </w:rPr>
        <w:t xml:space="preserve"> к объектам </w:t>
      </w:r>
      <w:r w:rsidR="00667250" w:rsidRPr="008D7EE8">
        <w:rPr>
          <w:rFonts w:ascii="Times New Roman" w:hAnsi="Times New Roman" w:cs="Times New Roman"/>
          <w:sz w:val="24"/>
          <w:szCs w:val="24"/>
        </w:rPr>
        <w:t>Единой наци</w:t>
      </w:r>
      <w:r w:rsidR="00667250" w:rsidRPr="008D7EE8">
        <w:rPr>
          <w:rFonts w:ascii="Times New Roman" w:hAnsi="Times New Roman" w:cs="Times New Roman"/>
          <w:sz w:val="24"/>
          <w:szCs w:val="24"/>
        </w:rPr>
        <w:t>о</w:t>
      </w:r>
      <w:r w:rsidR="00667250" w:rsidRPr="008D7EE8">
        <w:rPr>
          <w:rFonts w:ascii="Times New Roman" w:hAnsi="Times New Roman" w:cs="Times New Roman"/>
          <w:sz w:val="24"/>
          <w:szCs w:val="24"/>
        </w:rPr>
        <w:t>нальной электрической сети</w:t>
      </w:r>
      <w:r w:rsidR="005B3575" w:rsidRPr="008D7E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3575" w:rsidRPr="008D7EE8" w:rsidSect="00C708F4">
      <w:headerReference w:type="default" r:id="rId9"/>
      <w:pgSz w:w="16838" w:h="11906" w:orient="landscape"/>
      <w:pgMar w:top="567" w:right="567" w:bottom="567" w:left="56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B77C6" w14:textId="77777777" w:rsidR="0064017F" w:rsidRDefault="0064017F" w:rsidP="00FA1D6D">
      <w:pPr>
        <w:spacing w:after="0" w:line="240" w:lineRule="auto"/>
      </w:pPr>
      <w:r>
        <w:separator/>
      </w:r>
    </w:p>
  </w:endnote>
  <w:endnote w:type="continuationSeparator" w:id="0">
    <w:p w14:paraId="13E0F93D" w14:textId="77777777" w:rsidR="0064017F" w:rsidRDefault="0064017F" w:rsidP="00FA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6576D" w14:textId="77777777" w:rsidR="0064017F" w:rsidRDefault="0064017F" w:rsidP="00FA1D6D">
      <w:pPr>
        <w:spacing w:after="0" w:line="240" w:lineRule="auto"/>
      </w:pPr>
      <w:r>
        <w:separator/>
      </w:r>
    </w:p>
  </w:footnote>
  <w:footnote w:type="continuationSeparator" w:id="0">
    <w:p w14:paraId="7613EDD2" w14:textId="77777777" w:rsidR="0064017F" w:rsidRDefault="0064017F" w:rsidP="00FA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302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DE2FE86" w14:textId="2644A3FE" w:rsidR="00C708F4" w:rsidRDefault="005B3575" w:rsidP="00C83AB6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3AB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3AB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3AB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1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83AB6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6FA58BAC" w14:textId="3A89A746" w:rsidR="005B3575" w:rsidRPr="00C83AB6" w:rsidRDefault="0064017F" w:rsidP="00C83AB6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4F"/>
    <w:rsid w:val="00030DBA"/>
    <w:rsid w:val="00035D48"/>
    <w:rsid w:val="0003675E"/>
    <w:rsid w:val="00046076"/>
    <w:rsid w:val="000516C5"/>
    <w:rsid w:val="00062F5C"/>
    <w:rsid w:val="00064B64"/>
    <w:rsid w:val="0008615E"/>
    <w:rsid w:val="000A31ED"/>
    <w:rsid w:val="000B1335"/>
    <w:rsid w:val="000B3DA6"/>
    <w:rsid w:val="000E70A7"/>
    <w:rsid w:val="00124E81"/>
    <w:rsid w:val="00127734"/>
    <w:rsid w:val="0014441C"/>
    <w:rsid w:val="00183120"/>
    <w:rsid w:val="001A2CF1"/>
    <w:rsid w:val="001B5D79"/>
    <w:rsid w:val="001C6E7F"/>
    <w:rsid w:val="002135E1"/>
    <w:rsid w:val="0021421E"/>
    <w:rsid w:val="00262E38"/>
    <w:rsid w:val="002846BA"/>
    <w:rsid w:val="002A7ECC"/>
    <w:rsid w:val="002D4BBB"/>
    <w:rsid w:val="003014AA"/>
    <w:rsid w:val="00310A79"/>
    <w:rsid w:val="00314CD3"/>
    <w:rsid w:val="003205D4"/>
    <w:rsid w:val="00327EF1"/>
    <w:rsid w:val="003312A7"/>
    <w:rsid w:val="00337925"/>
    <w:rsid w:val="00344D0E"/>
    <w:rsid w:val="003B67E0"/>
    <w:rsid w:val="003F03E5"/>
    <w:rsid w:val="00412790"/>
    <w:rsid w:val="00431169"/>
    <w:rsid w:val="00452F05"/>
    <w:rsid w:val="0046707D"/>
    <w:rsid w:val="004736FF"/>
    <w:rsid w:val="0047594E"/>
    <w:rsid w:val="00483E1A"/>
    <w:rsid w:val="00495F8E"/>
    <w:rsid w:val="004F5390"/>
    <w:rsid w:val="00505C28"/>
    <w:rsid w:val="00537F70"/>
    <w:rsid w:val="00553785"/>
    <w:rsid w:val="005728E5"/>
    <w:rsid w:val="005B3575"/>
    <w:rsid w:val="005E730A"/>
    <w:rsid w:val="006203A1"/>
    <w:rsid w:val="006274DA"/>
    <w:rsid w:val="0064017F"/>
    <w:rsid w:val="006452DB"/>
    <w:rsid w:val="0065293B"/>
    <w:rsid w:val="00656FE0"/>
    <w:rsid w:val="00667250"/>
    <w:rsid w:val="00682D71"/>
    <w:rsid w:val="006C26A5"/>
    <w:rsid w:val="006E17AE"/>
    <w:rsid w:val="007042E5"/>
    <w:rsid w:val="0070670B"/>
    <w:rsid w:val="00796C9C"/>
    <w:rsid w:val="007A348F"/>
    <w:rsid w:val="007C3B28"/>
    <w:rsid w:val="007C3F9C"/>
    <w:rsid w:val="007D12E9"/>
    <w:rsid w:val="007E1CB6"/>
    <w:rsid w:val="00804C26"/>
    <w:rsid w:val="00811941"/>
    <w:rsid w:val="00833DDA"/>
    <w:rsid w:val="008619D7"/>
    <w:rsid w:val="00864CE1"/>
    <w:rsid w:val="00867405"/>
    <w:rsid w:val="008702DA"/>
    <w:rsid w:val="008705E3"/>
    <w:rsid w:val="00890785"/>
    <w:rsid w:val="0089555D"/>
    <w:rsid w:val="008C7931"/>
    <w:rsid w:val="008D7EE8"/>
    <w:rsid w:val="00916090"/>
    <w:rsid w:val="00922D35"/>
    <w:rsid w:val="009412C9"/>
    <w:rsid w:val="00942776"/>
    <w:rsid w:val="009A4C2B"/>
    <w:rsid w:val="009C59F2"/>
    <w:rsid w:val="009D175B"/>
    <w:rsid w:val="009E323B"/>
    <w:rsid w:val="009E4BBF"/>
    <w:rsid w:val="009F0B62"/>
    <w:rsid w:val="009F382B"/>
    <w:rsid w:val="00A00F73"/>
    <w:rsid w:val="00A05894"/>
    <w:rsid w:val="00A45D8A"/>
    <w:rsid w:val="00A577C6"/>
    <w:rsid w:val="00AB6D19"/>
    <w:rsid w:val="00B1120B"/>
    <w:rsid w:val="00B226C5"/>
    <w:rsid w:val="00B563EC"/>
    <w:rsid w:val="00B574FC"/>
    <w:rsid w:val="00B64C5E"/>
    <w:rsid w:val="00B70498"/>
    <w:rsid w:val="00B926F9"/>
    <w:rsid w:val="00BE2B0B"/>
    <w:rsid w:val="00BE695D"/>
    <w:rsid w:val="00BE75E1"/>
    <w:rsid w:val="00C05D2C"/>
    <w:rsid w:val="00C074D8"/>
    <w:rsid w:val="00C213E3"/>
    <w:rsid w:val="00C555FD"/>
    <w:rsid w:val="00C6349B"/>
    <w:rsid w:val="00C708F4"/>
    <w:rsid w:val="00C75CD5"/>
    <w:rsid w:val="00C83AB6"/>
    <w:rsid w:val="00CA27B5"/>
    <w:rsid w:val="00D365F9"/>
    <w:rsid w:val="00D63683"/>
    <w:rsid w:val="00D74459"/>
    <w:rsid w:val="00D92C8A"/>
    <w:rsid w:val="00D93D02"/>
    <w:rsid w:val="00DB5A25"/>
    <w:rsid w:val="00DE1E58"/>
    <w:rsid w:val="00DF5EFA"/>
    <w:rsid w:val="00DF68A5"/>
    <w:rsid w:val="00E02694"/>
    <w:rsid w:val="00E06984"/>
    <w:rsid w:val="00E320E3"/>
    <w:rsid w:val="00E32A5C"/>
    <w:rsid w:val="00E369F6"/>
    <w:rsid w:val="00E479A5"/>
    <w:rsid w:val="00E60970"/>
    <w:rsid w:val="00E650CA"/>
    <w:rsid w:val="00E70F31"/>
    <w:rsid w:val="00E723E1"/>
    <w:rsid w:val="00E7294F"/>
    <w:rsid w:val="00E91557"/>
    <w:rsid w:val="00EA28CA"/>
    <w:rsid w:val="00EB33DC"/>
    <w:rsid w:val="00EC76B9"/>
    <w:rsid w:val="00ED3B5B"/>
    <w:rsid w:val="00EE6F06"/>
    <w:rsid w:val="00F00727"/>
    <w:rsid w:val="00F42659"/>
    <w:rsid w:val="00F65DA4"/>
    <w:rsid w:val="00F84466"/>
    <w:rsid w:val="00F95365"/>
    <w:rsid w:val="00FA1D6D"/>
    <w:rsid w:val="00FB42C6"/>
    <w:rsid w:val="00FC1636"/>
    <w:rsid w:val="00FC3E67"/>
    <w:rsid w:val="00FD3F8A"/>
    <w:rsid w:val="00FE0508"/>
    <w:rsid w:val="00FE5561"/>
    <w:rsid w:val="00FF09BD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D4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29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94F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E72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D6D"/>
  </w:style>
  <w:style w:type="paragraph" w:styleId="a6">
    <w:name w:val="footer"/>
    <w:basedOn w:val="a"/>
    <w:link w:val="a7"/>
    <w:uiPriority w:val="99"/>
    <w:unhideWhenUsed/>
    <w:rsid w:val="00FA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D6D"/>
  </w:style>
  <w:style w:type="paragraph" w:styleId="a8">
    <w:name w:val="Balloon Text"/>
    <w:basedOn w:val="a"/>
    <w:link w:val="a9"/>
    <w:uiPriority w:val="99"/>
    <w:semiHidden/>
    <w:unhideWhenUsed/>
    <w:rsid w:val="001A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CF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1CB6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327E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29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94F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E72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D6D"/>
  </w:style>
  <w:style w:type="paragraph" w:styleId="a6">
    <w:name w:val="footer"/>
    <w:basedOn w:val="a"/>
    <w:link w:val="a7"/>
    <w:uiPriority w:val="99"/>
    <w:unhideWhenUsed/>
    <w:rsid w:val="00FA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D6D"/>
  </w:style>
  <w:style w:type="paragraph" w:styleId="a8">
    <w:name w:val="Balloon Text"/>
    <w:basedOn w:val="a"/>
    <w:link w:val="a9"/>
    <w:uiPriority w:val="99"/>
    <w:semiHidden/>
    <w:unhideWhenUsed/>
    <w:rsid w:val="001A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CF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1CB6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327E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14D3684A851895C3E0FE5A123C88C4E89F795997BBC1C8291BA3B58D7BD1AD26DD93E8F521C89A5120BDEFCAFA9BB87B01407E5F7x7p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619C1-7439-4427-9ADC-9298B71F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Елена Владимировна</dc:creator>
  <cp:lastModifiedBy>Ступаева Алевтина Сергеевна</cp:lastModifiedBy>
  <cp:revision>2</cp:revision>
  <cp:lastPrinted>2022-03-02T10:57:00Z</cp:lastPrinted>
  <dcterms:created xsi:type="dcterms:W3CDTF">2024-07-08T13:06:00Z</dcterms:created>
  <dcterms:modified xsi:type="dcterms:W3CDTF">2024-07-08T13:06:00Z</dcterms:modified>
</cp:coreProperties>
</file>