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79" w:rsidRDefault="001A7E79" w:rsidP="001A7E79">
      <w:pPr>
        <w:jc w:val="both"/>
        <w:rPr>
          <w:rFonts w:ascii="Times New Roman" w:hAnsi="Times New Roman"/>
          <w:sz w:val="28"/>
          <w:szCs w:val="28"/>
        </w:rPr>
      </w:pPr>
      <w:r>
        <w:rPr>
          <w:color w:val="161616"/>
          <w:sz w:val="21"/>
          <w:szCs w:val="21"/>
        </w:rPr>
        <w:br/>
      </w:r>
      <w:r w:rsidRPr="00E84A1F">
        <w:rPr>
          <w:rFonts w:ascii="Times New Roman" w:hAnsi="Times New Roman"/>
          <w:sz w:val="28"/>
          <w:szCs w:val="28"/>
        </w:rPr>
        <w:t>Вознаграждение приемному родителю с 01.01.2024 года составляет 4584,44 рублей. Вознаграждение приемному родителю ребенка-инвалида с 01.01.2024 года – 6876,63 рубля.</w:t>
      </w:r>
    </w:p>
    <w:p w:rsidR="00CE0AEE" w:rsidRDefault="001A7E79">
      <w:bookmarkStart w:id="0" w:name="_GoBack"/>
      <w:bookmarkEnd w:id="0"/>
      <w:r>
        <w:rPr>
          <w:b/>
          <w:bCs/>
          <w:color w:val="161616"/>
          <w:sz w:val="21"/>
          <w:szCs w:val="21"/>
        </w:rPr>
        <w:br/>
      </w:r>
      <w:r>
        <w:rPr>
          <w:rFonts w:ascii="Tahoma" w:hAnsi="Tahoma" w:cs="Tahoma"/>
          <w:color w:val="161616"/>
          <w:sz w:val="21"/>
          <w:szCs w:val="21"/>
        </w:rPr>
        <w:t>﻿</w:t>
      </w:r>
    </w:p>
    <w:sectPr w:rsidR="00CE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E"/>
    <w:rsid w:val="00127CDE"/>
    <w:rsid w:val="001A7E79"/>
    <w:rsid w:val="00C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9991-B871-4DB0-9584-4D8BBDCC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2</cp:revision>
  <dcterms:created xsi:type="dcterms:W3CDTF">2024-05-31T13:54:00Z</dcterms:created>
  <dcterms:modified xsi:type="dcterms:W3CDTF">2024-05-31T13:54:00Z</dcterms:modified>
</cp:coreProperties>
</file>