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91" w:rsidRDefault="00B23C91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B23C91" w:rsidRDefault="00B23C91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</w:p>
    <w:p w:rsidR="00B23C91" w:rsidRDefault="00B23C91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</w:p>
    <w:p w:rsidR="00B23C91" w:rsidRDefault="004B7D50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АЛГОРИТМ </w:t>
      </w:r>
    </w:p>
    <w:p w:rsidR="00B23C91" w:rsidRDefault="004B7D50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действий инвестора по процедурам подключения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к электрическим сетям </w:t>
      </w:r>
      <w:r>
        <w:rPr>
          <w:sz w:val="24"/>
          <w:szCs w:val="24"/>
        </w:rPr>
        <w:br/>
        <w:t>(малый и средний бизнес - до 150 к</w:t>
      </w:r>
      <w:proofErr w:type="gramStart"/>
      <w:r>
        <w:rPr>
          <w:sz w:val="24"/>
          <w:szCs w:val="24"/>
        </w:rPr>
        <w:t>Вт вкл</w:t>
      </w:r>
      <w:proofErr w:type="gramEnd"/>
      <w:r>
        <w:rPr>
          <w:sz w:val="24"/>
          <w:szCs w:val="24"/>
        </w:rPr>
        <w:t>ючительно*)</w:t>
      </w:r>
    </w:p>
    <w:p w:rsidR="00B23C91" w:rsidRDefault="00B23C91">
      <w:pPr>
        <w:pStyle w:val="20"/>
        <w:shd w:val="clear" w:color="auto" w:fill="auto"/>
        <w:spacing w:after="0"/>
        <w:jc w:val="center"/>
      </w:pPr>
    </w:p>
    <w:tbl>
      <w:tblPr>
        <w:tblStyle w:val="af"/>
        <w:tblW w:w="5000" w:type="pct"/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1806"/>
        <w:gridCol w:w="1251"/>
        <w:gridCol w:w="1251"/>
        <w:gridCol w:w="1113"/>
        <w:gridCol w:w="2999"/>
        <w:gridCol w:w="1936"/>
        <w:gridCol w:w="1804"/>
        <w:gridCol w:w="3180"/>
      </w:tblGrid>
      <w:tr w:rsidR="00B23C91">
        <w:trPr>
          <w:trHeight w:val="20"/>
          <w:tblHeader/>
        </w:trPr>
        <w:tc>
          <w:tcPr>
            <w:tcW w:w="491" w:type="dxa"/>
            <w:shd w:val="clear" w:color="auto" w:fill="auto"/>
            <w:tcMar>
              <w:left w:w="52" w:type="dxa"/>
            </w:tcMar>
            <w:vAlign w:val="center"/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7" w:type="dxa"/>
            <w:shd w:val="clear" w:color="auto" w:fill="auto"/>
            <w:tcMar>
              <w:left w:w="52" w:type="dxa"/>
            </w:tcMar>
            <w:vAlign w:val="center"/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алгоритма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(Процедура)</w:t>
            </w:r>
          </w:p>
        </w:tc>
        <w:tc>
          <w:tcPr>
            <w:tcW w:w="1052" w:type="dxa"/>
            <w:shd w:val="clear" w:color="auto" w:fill="auto"/>
            <w:tcMar>
              <w:left w:w="52" w:type="dxa"/>
            </w:tcMar>
            <w:vAlign w:val="center"/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</w:tc>
        <w:tc>
          <w:tcPr>
            <w:tcW w:w="1053" w:type="dxa"/>
            <w:shd w:val="clear" w:color="auto" w:fill="auto"/>
            <w:tcMar>
              <w:left w:w="52" w:type="dxa"/>
            </w:tcMar>
            <w:vAlign w:val="center"/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07" w:type="dxa"/>
            <w:shd w:val="clear" w:color="auto" w:fill="auto"/>
            <w:tcMar>
              <w:left w:w="52" w:type="dxa"/>
            </w:tcMar>
            <w:vAlign w:val="center"/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</w:t>
            </w:r>
          </w:p>
        </w:tc>
        <w:tc>
          <w:tcPr>
            <w:tcW w:w="3197" w:type="dxa"/>
            <w:shd w:val="clear" w:color="auto" w:fill="auto"/>
            <w:tcMar>
              <w:left w:w="52" w:type="dxa"/>
            </w:tcMar>
            <w:vAlign w:val="center"/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Входящие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</w:t>
            </w:r>
          </w:p>
        </w:tc>
        <w:tc>
          <w:tcPr>
            <w:tcW w:w="1973" w:type="dxa"/>
            <w:shd w:val="clear" w:color="auto" w:fill="auto"/>
            <w:tcMar>
              <w:left w:w="52" w:type="dxa"/>
            </w:tcMar>
            <w:vAlign w:val="center"/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Результирующие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</w:t>
            </w:r>
          </w:p>
        </w:tc>
        <w:tc>
          <w:tcPr>
            <w:tcW w:w="1834" w:type="dxa"/>
            <w:shd w:val="clear" w:color="auto" w:fill="auto"/>
            <w:tcMar>
              <w:left w:w="52" w:type="dxa"/>
            </w:tcMar>
            <w:vAlign w:val="center"/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вовой акт</w:t>
            </w:r>
          </w:p>
        </w:tc>
        <w:tc>
          <w:tcPr>
            <w:tcW w:w="3458" w:type="dxa"/>
            <w:shd w:val="clear" w:color="auto" w:fill="auto"/>
            <w:tcMar>
              <w:left w:w="52" w:type="dxa"/>
            </w:tcMar>
            <w:vAlign w:val="center"/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23C91">
        <w:trPr>
          <w:trHeight w:val="20"/>
        </w:trPr>
        <w:tc>
          <w:tcPr>
            <w:tcW w:w="491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заявки на технологическое присоединение и заключение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вора об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ческого присоед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1052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рабочих дней</w:t>
            </w:r>
          </w:p>
        </w:tc>
        <w:tc>
          <w:tcPr>
            <w:tcW w:w="1053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рабочих дней</w:t>
            </w:r>
          </w:p>
        </w:tc>
        <w:tc>
          <w:tcPr>
            <w:tcW w:w="807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7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Заявка на технологическое присоединение.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План расположения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Перечень и мощность устрой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присоединения к противоаварийной и режимной автоматике.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Один из нижеследующих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кументов: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ждающих владение заявителем на праве собственности или на ином предусмотренном законом основании объектом капитальн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строительства (нежилым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мещением в таком объекте кап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строительства) и (или) земельным участком, на котором расположены (будут распол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гаться)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заявителя;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копия разрешения на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земель или земельных участков, находящихся в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или муниципальной собственности, без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земельных участков и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новления сервитута, публичного сервитута в целях размещения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 (с указанием сведений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границах используемой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тории);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ждающих, что заявитель облад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сервитутом или публичным сервитутом, которые установл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в соответствии с гражданским законодательством Российской Федерации, земельным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тельством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и предусматривают возмо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использования земельного участка для целей размещения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 (с указанием сведений о границах сервитута);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в случае подачи заявки на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вании пункта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 ТП -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пии решения о предварительном согласовании предоставления земельного участка, утвержде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проекта межевания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и (или) выданного в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частью 1.1 статьи 57.3 Градостроительного кодекса Российской Федерации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строительного плана земельного участка и утвержденной в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земельным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тельством схемы расположения земельного участка или 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участков на кадастровом плане территории (в 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дачи заявки юридическим лицом, созданным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цией, субъектом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дерации или муниципальным образованием, иным юридич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лицом - также копии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ментов, подтверждающих 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чие оснований для подачи заявки в случаях, указанных в абзацах третьем и четвертом пункта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 ТП).</w:t>
            </w:r>
            <w:proofErr w:type="gramEnd"/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Выписка из Единого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реестра юридических лиц, Единого государственного реестра индивидуальных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принимателей.</w:t>
            </w:r>
          </w:p>
        </w:tc>
        <w:tc>
          <w:tcPr>
            <w:tcW w:w="1973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1.Технические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2.Условия типового договора.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3.Счет на оплату.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4.Инструкция по присоединению.</w:t>
            </w:r>
          </w:p>
          <w:p w:rsidR="00B23C91" w:rsidRDefault="00B2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3C91" w:rsidRDefault="00B2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3C91" w:rsidRDefault="00B2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 отсутствии сведений и докуме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тов, указанных в пунктах 9, 10 Пр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вил ТП, сетевая 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ганизация не позднее 3 рабочих дней со дня получения заявки направляет заяв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телю уведомление, содержащее указ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ние на сведения (д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кументы), которые в соответствии с Правилами ТП должны быть пре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ставлены заявит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лем в дополнение к представленным сведениям (док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ментам), а также указание на необх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димость их пре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ставления в течение 20 рабочих дней со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дня получения ук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занного уведомления. При этом сетевая организация пр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останавливает 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смотрение заявки до получения недост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ющих сведений и документов</w:t>
            </w:r>
          </w:p>
        </w:tc>
        <w:tc>
          <w:tcPr>
            <w:tcW w:w="1834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Пункты 9, 10, 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15, 105 Правил технологического присоединения, утвержденных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становлением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вительства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Федерации от 27 декабря 2004 года № 861 (далее – Правила ТП)</w:t>
            </w:r>
          </w:p>
        </w:tc>
        <w:tc>
          <w:tcPr>
            <w:tcW w:w="3458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целях определения надлежащей сетевой организации, в которую подлежит направлению заявка,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явитель вправе направить запрос в орган местного самоуправления, на территории которого расположены соответствующие объекты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тросетевого хозяйства, с указанием расположения объектов электрос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просе объектов электросетевого хозяйства.</w:t>
            </w:r>
            <w:proofErr w:type="gramEnd"/>
          </w:p>
          <w:p w:rsidR="00B23C91" w:rsidRDefault="00B2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фактических сроков обеспечивается организацией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имодействия в электронном виде с использованием сайта сетевой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ганизации и налаживанием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мационного обмена между сетев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организациями и гарантиру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щими поставщиками.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Повышению удобства подачи зая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будет способствовать 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следующих мероприятий: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Обеспечено автоматическое предоставление сетевой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информации, подлежащей 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занию инвестором в заявке, из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ударственных информационных систем.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Интеграция информационных систем сетевых организаций 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фраструктурой Единой системы идентификац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тентификации.</w:t>
            </w:r>
          </w:p>
        </w:tc>
      </w:tr>
      <w:tr w:rsidR="00B23C91">
        <w:trPr>
          <w:trHeight w:val="20"/>
        </w:trPr>
        <w:tc>
          <w:tcPr>
            <w:tcW w:w="491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37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работ и окончательное подключение</w:t>
            </w:r>
          </w:p>
        </w:tc>
        <w:tc>
          <w:tcPr>
            <w:tcW w:w="1052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Предельные нормативные сроки - от 30 рабочих дней до 1 года</w:t>
            </w:r>
          </w:p>
        </w:tc>
        <w:tc>
          <w:tcPr>
            <w:tcW w:w="1053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Предельные нормативные сроки - от 30 рабочих дней до 55 рабочих дней </w:t>
            </w:r>
          </w:p>
        </w:tc>
        <w:tc>
          <w:tcPr>
            <w:tcW w:w="807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97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инвестора не требуется предоставление документов.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присоединения на уровне напряжения свыше 0,4к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выполнении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нических условий с комплектом документов.</w:t>
            </w:r>
          </w:p>
          <w:p w:rsidR="00B23C91" w:rsidRDefault="00B2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C91" w:rsidRDefault="00B2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C91" w:rsidRDefault="00B2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Договор, обеспечивающий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дажу электрической энергии на розничном рынке, считается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ключенным между гарантиру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щим поставщиком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энергосбыт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организацией) и заявителем со дня составления и размещения в личном кабинете заявителя на сайте сетевой организации акта об осуществлении технологич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присоединения (уведомл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об обеспечении сетевой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ганизацией возможности прис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единения к электрическим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тям), подписанного со стороны сетевой организации, но не ранее совершения заявителем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ствий, свидетельствующих о начале фактического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электрической энергии, вне зависимости от подписания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говора заявителем.</w:t>
            </w:r>
          </w:p>
        </w:tc>
        <w:tc>
          <w:tcPr>
            <w:tcW w:w="1973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присоед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на уровне напряжения 0,4кВ и ниже: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1.Уведомление об обеспечении сетевой организацией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присоед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к электрич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сетям.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2.Акт допуска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 учета в экспл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атацию.</w:t>
            </w:r>
          </w:p>
          <w:p w:rsidR="00B23C91" w:rsidRDefault="00B2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C91" w:rsidRDefault="00B2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присоед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на уровне напряжения свыше 0,4кВ: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Акт об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технологич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присоедин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Акт о выполнении технических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Акт допуска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 учета в экспл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атацию.</w:t>
            </w:r>
          </w:p>
        </w:tc>
        <w:tc>
          <w:tcPr>
            <w:tcW w:w="1834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Подпункт «в», «г» «д», «е» пункта 7, подпункт «б» пункта 16, пункты 18, 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 ТП</w:t>
            </w:r>
          </w:p>
        </w:tc>
        <w:tc>
          <w:tcPr>
            <w:tcW w:w="3458" w:type="dxa"/>
            <w:shd w:val="clear" w:color="auto" w:fill="auto"/>
            <w:tcMar>
              <w:left w:w="52" w:type="dxa"/>
            </w:tcMar>
          </w:tcPr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Соблюдению нормативных сроков реализации подключения 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 исполнение следующих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роприятий: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 сайте сетевых организаций обеспечено наличие информации по центрам питания с указанием объема свободной для 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ческого присоединения мощности (подпункт «г» пункта 19 Станда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раскрытия информации, утве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жденных постановлением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тельства Российской Федерации от 21 января 2004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24 «Об утверждении стандартов раскрытия информации субъектами оптового и розничных рынков электрической энергии»).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Органами исполнительной 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субъекта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для целей реализации инвест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ционных проектов предоставляю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земельные участки, не требу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значительного объема сетев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строительства.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Инвестором с сетевой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цией заключен договор «Технол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гическое присоединение под ключ», работы на стороне заявит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также выполняются сетевой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ганизацией.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Пересмотр целевых сроков возм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 после реализации следующих мероприятий: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Сокращение сроков оформления прав на земельные участки.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Сетевым организациям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 доступ к следующим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ционным системам: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Федеральной государственной информационной системе «Единый государственный реестр недвиж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мости» Федеральной службы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регистрации, кадастра и картографии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с возможностью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платного получения выписок об объектах недвижимости из 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государственного реестра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движимости;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Информационной системе,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держащей сведения о заключенных договорах аренды земельных участков (краткосрочных и долг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срочных), сведения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правовом статусе 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участков;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Информационной системе,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держащей сведения отдела геол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го-геодезической службы и отдела подземных сооружений.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Обеспечена возможность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ществления сверки сетей с 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дельцами инженерных коммуник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 в рамках «одного окна».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Сокращение сроков получения актуальных материалов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топосъе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Уменьшение срока проведения торгово-закупочных процедур.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Обеспечение органами исполн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тельной власти субъекта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Федерации возможности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организаций осуществлять оформление исходно-разрешительной и согласование проектной документации в режиме «одного окна» в течение 10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чих дней.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Исключение обязанности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организации по проведению мероприятий по лесоразведению после выполнения строительно-монтажных работ, а также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мероприятий по агротехн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ческому уходу в течение 8 лет.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Введение уведомительного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рядка оформления ордера (разр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шения) на производство земляных работ, установку временных ограждений и размещение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объектов.</w:t>
            </w:r>
          </w:p>
          <w:p w:rsidR="00B23C91" w:rsidRDefault="004B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Обеспечена компенсация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мически обоснованных расходов сетевой организации, не включа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в плату за технологическое присоединение.</w:t>
            </w:r>
          </w:p>
        </w:tc>
      </w:tr>
    </w:tbl>
    <w:p w:rsidR="00B23C91" w:rsidRDefault="00B23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C91" w:rsidRDefault="00B23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C91" w:rsidRDefault="004B7D5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* в представленном алгоритме указаны процедуры без учета особенностей для групп заявителей, осуществляющих технологическое присоединение на временной основе и смежных сетевых организации</w:t>
      </w:r>
    </w:p>
    <w:sectPr w:rsidR="00B23C91">
      <w:headerReference w:type="default" r:id="rId8"/>
      <w:pgSz w:w="16838" w:h="11906" w:orient="landscape"/>
      <w:pgMar w:top="766" w:right="567" w:bottom="567" w:left="567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D2" w:rsidRDefault="00A163D2">
      <w:pPr>
        <w:spacing w:after="0" w:line="240" w:lineRule="auto"/>
      </w:pPr>
      <w:r>
        <w:separator/>
      </w:r>
    </w:p>
  </w:endnote>
  <w:endnote w:type="continuationSeparator" w:id="0">
    <w:p w:rsidR="00A163D2" w:rsidRDefault="00A1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D2" w:rsidRDefault="00A163D2">
      <w:pPr>
        <w:spacing w:after="0" w:line="240" w:lineRule="auto"/>
      </w:pPr>
      <w:r>
        <w:separator/>
      </w:r>
    </w:p>
  </w:footnote>
  <w:footnote w:type="continuationSeparator" w:id="0">
    <w:p w:rsidR="00A163D2" w:rsidRDefault="00A1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184460"/>
      <w:docPartObj>
        <w:docPartGallery w:val="Page Numbers (Top of Page)"/>
        <w:docPartUnique/>
      </w:docPartObj>
    </w:sdtPr>
    <w:sdtEndPr/>
    <w:sdtContent>
      <w:p w:rsidR="00B23C91" w:rsidRDefault="004B7D50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E27EC">
          <w:rPr>
            <w:noProof/>
          </w:rPr>
          <w:t>1</w:t>
        </w:r>
        <w:r>
          <w:fldChar w:fldCharType="end"/>
        </w:r>
      </w:p>
      <w:p w:rsidR="00B23C91" w:rsidRDefault="00A163D2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91"/>
    <w:rsid w:val="0019661A"/>
    <w:rsid w:val="0037625F"/>
    <w:rsid w:val="004B7D50"/>
    <w:rsid w:val="009E27EC"/>
    <w:rsid w:val="00A163D2"/>
    <w:rsid w:val="00AA3CD6"/>
    <w:rsid w:val="00B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E729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FA1D6D"/>
  </w:style>
  <w:style w:type="character" w:customStyle="1" w:styleId="a4">
    <w:name w:val="Нижний колонтитул Знак"/>
    <w:basedOn w:val="a0"/>
    <w:uiPriority w:val="99"/>
    <w:qFormat/>
    <w:rsid w:val="00FA1D6D"/>
  </w:style>
  <w:style w:type="character" w:customStyle="1" w:styleId="a5">
    <w:name w:val="Текст выноски Знак"/>
    <w:basedOn w:val="a0"/>
    <w:uiPriority w:val="99"/>
    <w:semiHidden/>
    <w:qFormat/>
    <w:rsid w:val="001A2CF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E7294F"/>
    <w:pPr>
      <w:widowControl w:val="0"/>
      <w:shd w:val="clear" w:color="auto" w:fill="FFFFFF"/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uiPriority w:val="99"/>
    <w:unhideWhenUsed/>
    <w:rsid w:val="00FA1D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FA1D6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1A2C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E1CB6"/>
    <w:pPr>
      <w:ind w:left="720"/>
      <w:contextualSpacing/>
    </w:pPr>
  </w:style>
  <w:style w:type="table" w:styleId="af">
    <w:name w:val="Table Grid"/>
    <w:basedOn w:val="a1"/>
    <w:uiPriority w:val="39"/>
    <w:rsid w:val="00E72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327EF1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E729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FA1D6D"/>
  </w:style>
  <w:style w:type="character" w:customStyle="1" w:styleId="a4">
    <w:name w:val="Нижний колонтитул Знак"/>
    <w:basedOn w:val="a0"/>
    <w:uiPriority w:val="99"/>
    <w:qFormat/>
    <w:rsid w:val="00FA1D6D"/>
  </w:style>
  <w:style w:type="character" w:customStyle="1" w:styleId="a5">
    <w:name w:val="Текст выноски Знак"/>
    <w:basedOn w:val="a0"/>
    <w:uiPriority w:val="99"/>
    <w:semiHidden/>
    <w:qFormat/>
    <w:rsid w:val="001A2CF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E7294F"/>
    <w:pPr>
      <w:widowControl w:val="0"/>
      <w:shd w:val="clear" w:color="auto" w:fill="FFFFFF"/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uiPriority w:val="99"/>
    <w:unhideWhenUsed/>
    <w:rsid w:val="00FA1D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FA1D6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1A2C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E1CB6"/>
    <w:pPr>
      <w:ind w:left="720"/>
      <w:contextualSpacing/>
    </w:pPr>
  </w:style>
  <w:style w:type="table" w:styleId="af">
    <w:name w:val="Table Grid"/>
    <w:basedOn w:val="a1"/>
    <w:uiPriority w:val="39"/>
    <w:rsid w:val="00E72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327EF1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F238-5BF8-459C-95D1-9174B47E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Елена Владимировна</dc:creator>
  <cp:lastModifiedBy>Ступаева Алевтина Сергеевна</cp:lastModifiedBy>
  <cp:revision>2</cp:revision>
  <cp:lastPrinted>2022-07-27T15:06:00Z</cp:lastPrinted>
  <dcterms:created xsi:type="dcterms:W3CDTF">2024-07-08T13:04:00Z</dcterms:created>
  <dcterms:modified xsi:type="dcterms:W3CDTF">2024-07-08T13:04:00Z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